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A3" w:rsidRPr="00E26FDD" w:rsidRDefault="00FA63A3" w:rsidP="00FA63A3">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MATRIX of existing Master course (</w:t>
      </w:r>
      <w:r w:rsidR="00C45290">
        <w:rPr>
          <w:rFonts w:ascii="Arial" w:hAnsi="Arial" w:cs="Arial"/>
          <w:color w:val="000000"/>
          <w:sz w:val="28"/>
          <w:szCs w:val="28"/>
          <w:shd w:val="clear" w:color="auto" w:fill="FFFFFF"/>
          <w:lang w:val="en-US"/>
        </w:rPr>
        <w:t>University of A Coruna</w:t>
      </w:r>
      <w:r w:rsidRPr="00E26FDD">
        <w:rPr>
          <w:rFonts w:ascii="Arial" w:hAnsi="Arial" w:cs="Arial"/>
          <w:color w:val="000000"/>
          <w:sz w:val="28"/>
          <w:szCs w:val="28"/>
          <w:shd w:val="clear" w:color="auto" w:fill="FFFFFF"/>
          <w:lang w:val="en-US"/>
        </w:rPr>
        <w:t>)</w:t>
      </w:r>
    </w:p>
    <w:p w:rsidR="00FA63A3" w:rsidRPr="00DB43ED" w:rsidRDefault="00FA63A3" w:rsidP="00FA63A3">
      <w:pPr>
        <w:rPr>
          <w:lang w:val="en-US"/>
        </w:rPr>
      </w:pPr>
    </w:p>
    <w:tbl>
      <w:tblPr>
        <w:tblStyle w:val="TableGrid"/>
        <w:tblW w:w="14923" w:type="dxa"/>
        <w:tblInd w:w="142" w:type="dxa"/>
        <w:tblLayout w:type="fixed"/>
        <w:tblLook w:val="01E0"/>
      </w:tblPr>
      <w:tblGrid>
        <w:gridCol w:w="2877"/>
        <w:gridCol w:w="633"/>
        <w:gridCol w:w="992"/>
        <w:gridCol w:w="142"/>
        <w:gridCol w:w="851"/>
        <w:gridCol w:w="141"/>
        <w:gridCol w:w="1276"/>
        <w:gridCol w:w="1701"/>
        <w:gridCol w:w="4394"/>
        <w:gridCol w:w="1916"/>
      </w:tblGrid>
      <w:tr w:rsidR="00FA63A3" w:rsidTr="008D3514">
        <w:trPr>
          <w:trHeight w:val="74"/>
        </w:trPr>
        <w:tc>
          <w:tcPr>
            <w:tcW w:w="2877" w:type="dxa"/>
          </w:tcPr>
          <w:p w:rsidR="00FA63A3" w:rsidRPr="003513D4" w:rsidRDefault="00FA63A3" w:rsidP="00D44D21">
            <w:pPr>
              <w:jc w:val="center"/>
              <w:rPr>
                <w:sz w:val="22"/>
                <w:szCs w:val="22"/>
                <w:lang w:val="en-US"/>
              </w:rPr>
            </w:pPr>
            <w:r w:rsidRPr="003513D4">
              <w:rPr>
                <w:color w:val="000000"/>
                <w:sz w:val="22"/>
                <w:szCs w:val="22"/>
                <w:shd w:val="clear" w:color="auto" w:fill="FFFFFF"/>
                <w:lang w:val="en-US"/>
              </w:rPr>
              <w:t>Name of compulsory chair</w:t>
            </w:r>
          </w:p>
        </w:tc>
        <w:tc>
          <w:tcPr>
            <w:tcW w:w="633" w:type="dxa"/>
          </w:tcPr>
          <w:p w:rsidR="00FA63A3" w:rsidRPr="003513D4" w:rsidRDefault="00FA63A3" w:rsidP="00D44D21">
            <w:pPr>
              <w:jc w:val="center"/>
              <w:rPr>
                <w:color w:val="000000"/>
                <w:shd w:val="clear" w:color="auto" w:fill="FFFFFF"/>
                <w:lang w:val="en-US"/>
              </w:rPr>
            </w:pPr>
            <w:r w:rsidRPr="003513D4">
              <w:rPr>
                <w:color w:val="000000"/>
                <w:shd w:val="clear" w:color="auto" w:fill="FFFFFF"/>
                <w:lang w:val="en-US"/>
              </w:rPr>
              <w:t>Year</w:t>
            </w:r>
          </w:p>
        </w:tc>
        <w:tc>
          <w:tcPr>
            <w:tcW w:w="992" w:type="dxa"/>
          </w:tcPr>
          <w:p w:rsidR="00FA63A3" w:rsidRPr="003513D4" w:rsidRDefault="00FA63A3" w:rsidP="00D44D21">
            <w:pPr>
              <w:jc w:val="center"/>
              <w:rPr>
                <w:color w:val="000000"/>
                <w:shd w:val="clear" w:color="auto" w:fill="FFFFFF"/>
                <w:lang w:val="en-US"/>
              </w:rPr>
            </w:pPr>
            <w:r w:rsidRPr="003513D4">
              <w:rPr>
                <w:color w:val="000000"/>
                <w:shd w:val="clear" w:color="auto" w:fill="FFFFFF"/>
                <w:lang w:val="en-US"/>
              </w:rPr>
              <w:t>Semester</w:t>
            </w:r>
          </w:p>
        </w:tc>
        <w:tc>
          <w:tcPr>
            <w:tcW w:w="993" w:type="dxa"/>
            <w:gridSpan w:val="2"/>
          </w:tcPr>
          <w:p w:rsidR="00FA63A3" w:rsidRPr="003513D4" w:rsidRDefault="00FA63A3" w:rsidP="00D44D21">
            <w:pPr>
              <w:jc w:val="center"/>
              <w:rPr>
                <w:color w:val="000000"/>
                <w:shd w:val="clear" w:color="auto" w:fill="FFFFFF"/>
                <w:lang w:val="en-US"/>
              </w:rPr>
            </w:pPr>
            <w:r w:rsidRPr="003513D4">
              <w:rPr>
                <w:color w:val="000000"/>
                <w:shd w:val="clear" w:color="auto" w:fill="FFFFFF"/>
                <w:lang w:val="en-US"/>
              </w:rPr>
              <w:t>Number of ECTS</w:t>
            </w:r>
          </w:p>
        </w:tc>
        <w:tc>
          <w:tcPr>
            <w:tcW w:w="1417" w:type="dxa"/>
            <w:gridSpan w:val="2"/>
          </w:tcPr>
          <w:p w:rsidR="00FA63A3" w:rsidRPr="003513D4" w:rsidRDefault="00FA63A3" w:rsidP="00D44D21">
            <w:pPr>
              <w:jc w:val="center"/>
              <w:rPr>
                <w:sz w:val="22"/>
                <w:szCs w:val="22"/>
                <w:lang w:val="en-US"/>
              </w:rPr>
            </w:pPr>
            <w:r w:rsidRPr="003513D4">
              <w:rPr>
                <w:color w:val="000000"/>
                <w:sz w:val="22"/>
                <w:szCs w:val="22"/>
                <w:shd w:val="clear" w:color="auto" w:fill="FFFFFF"/>
                <w:lang w:val="en-US"/>
              </w:rPr>
              <w:t>Number of elective chairs</w:t>
            </w:r>
          </w:p>
        </w:tc>
        <w:tc>
          <w:tcPr>
            <w:tcW w:w="1701" w:type="dxa"/>
          </w:tcPr>
          <w:p w:rsidR="00FA63A3" w:rsidRPr="003513D4" w:rsidRDefault="00FA63A3" w:rsidP="00D44D21">
            <w:pPr>
              <w:jc w:val="center"/>
              <w:rPr>
                <w:sz w:val="22"/>
                <w:szCs w:val="22"/>
                <w:lang w:val="en-US"/>
              </w:rPr>
            </w:pPr>
            <w:r w:rsidRPr="003513D4">
              <w:rPr>
                <w:color w:val="000000"/>
                <w:sz w:val="22"/>
                <w:szCs w:val="22"/>
                <w:shd w:val="clear" w:color="auto" w:fill="FFFFFF"/>
                <w:lang w:val="en-US"/>
              </w:rPr>
              <w:t>List of available elective chairs</w:t>
            </w:r>
          </w:p>
        </w:tc>
        <w:tc>
          <w:tcPr>
            <w:tcW w:w="4394" w:type="dxa"/>
          </w:tcPr>
          <w:p w:rsidR="00FA63A3" w:rsidRPr="003513D4" w:rsidRDefault="00FA63A3" w:rsidP="00D44D21">
            <w:pPr>
              <w:jc w:val="center"/>
              <w:rPr>
                <w:sz w:val="22"/>
                <w:szCs w:val="22"/>
                <w:lang w:val="en-US"/>
              </w:rPr>
            </w:pPr>
            <w:r w:rsidRPr="003513D4">
              <w:rPr>
                <w:caps/>
                <w:color w:val="000000"/>
                <w:sz w:val="22"/>
                <w:szCs w:val="22"/>
                <w:shd w:val="clear" w:color="auto" w:fill="FFFFFF"/>
                <w:lang w:val="en-US"/>
              </w:rPr>
              <w:t>s</w:t>
            </w:r>
            <w:r w:rsidRPr="003513D4">
              <w:rPr>
                <w:color w:val="000000"/>
                <w:sz w:val="22"/>
                <w:szCs w:val="22"/>
                <w:shd w:val="clear" w:color="auto" w:fill="FFFFFF"/>
                <w:lang w:val="en-US"/>
              </w:rPr>
              <w:t>hort description</w:t>
            </w:r>
          </w:p>
        </w:tc>
        <w:tc>
          <w:tcPr>
            <w:tcW w:w="1916" w:type="dxa"/>
          </w:tcPr>
          <w:p w:rsidR="00FA63A3" w:rsidRPr="003513D4" w:rsidRDefault="00FA63A3" w:rsidP="00D44D21">
            <w:pPr>
              <w:jc w:val="center"/>
              <w:rPr>
                <w:sz w:val="22"/>
                <w:szCs w:val="22"/>
                <w:lang w:val="en-US"/>
              </w:rPr>
            </w:pPr>
            <w:r w:rsidRPr="003513D4">
              <w:rPr>
                <w:caps/>
                <w:color w:val="000000"/>
                <w:sz w:val="22"/>
                <w:szCs w:val="22"/>
                <w:shd w:val="clear" w:color="auto" w:fill="FFFFFF"/>
                <w:lang w:val="en-US"/>
              </w:rPr>
              <w:t>r</w:t>
            </w:r>
            <w:r w:rsidRPr="003513D4">
              <w:rPr>
                <w:color w:val="000000"/>
                <w:sz w:val="22"/>
                <w:szCs w:val="22"/>
                <w:shd w:val="clear" w:color="auto" w:fill="FFFFFF"/>
                <w:lang w:val="en-US"/>
              </w:rPr>
              <w:t>elation between the contents and RETHINK’s theme</w:t>
            </w:r>
          </w:p>
        </w:tc>
      </w:tr>
      <w:tr w:rsidR="00FA63A3" w:rsidRPr="00BB13FF" w:rsidTr="00FA63A3">
        <w:trPr>
          <w:trHeight w:val="310"/>
        </w:trPr>
        <w:tc>
          <w:tcPr>
            <w:tcW w:w="14923" w:type="dxa"/>
            <w:gridSpan w:val="10"/>
            <w:vAlign w:val="center"/>
          </w:tcPr>
          <w:p w:rsidR="00FA63A3" w:rsidRPr="003513D4" w:rsidRDefault="00C45290" w:rsidP="006E3B47">
            <w:pPr>
              <w:spacing w:before="120" w:after="100" w:afterAutospacing="1" w:line="312" w:lineRule="auto"/>
              <w:jc w:val="center"/>
              <w:rPr>
                <w:rFonts w:cstheme="minorHAnsi"/>
                <w:sz w:val="36"/>
                <w:szCs w:val="24"/>
                <w:lang w:val="en-US"/>
              </w:rPr>
            </w:pPr>
            <w:r w:rsidRPr="003513D4">
              <w:rPr>
                <w:rFonts w:cstheme="minorHAnsi"/>
                <w:sz w:val="36"/>
                <w:szCs w:val="24"/>
                <w:lang w:val="en-US"/>
              </w:rPr>
              <w:t xml:space="preserve">MSc. in </w:t>
            </w:r>
            <w:r w:rsidR="006E3B47" w:rsidRPr="003513D4">
              <w:rPr>
                <w:rFonts w:cstheme="minorHAnsi"/>
                <w:sz w:val="36"/>
                <w:szCs w:val="24"/>
                <w:lang w:val="en-US"/>
              </w:rPr>
              <w:t xml:space="preserve">Environmental </w:t>
            </w:r>
            <w:r w:rsidRPr="003513D4">
              <w:rPr>
                <w:rFonts w:cstheme="minorHAnsi"/>
                <w:sz w:val="36"/>
                <w:szCs w:val="24"/>
                <w:lang w:val="en-US"/>
              </w:rPr>
              <w:t>Sciences, Technologies and Management</w:t>
            </w:r>
          </w:p>
        </w:tc>
      </w:tr>
      <w:tr w:rsidR="00FA63A3" w:rsidRPr="00BB13FF" w:rsidTr="00DA5AA0">
        <w:trPr>
          <w:trHeight w:val="74"/>
        </w:trPr>
        <w:tc>
          <w:tcPr>
            <w:tcW w:w="2877" w:type="dxa"/>
            <w:vAlign w:val="center"/>
          </w:tcPr>
          <w:p w:rsidR="00FA63A3" w:rsidRPr="003513D4" w:rsidRDefault="00FA63A3" w:rsidP="00DA5AA0">
            <w:pPr>
              <w:pStyle w:val="ListParagraph"/>
              <w:numPr>
                <w:ilvl w:val="0"/>
                <w:numId w:val="1"/>
              </w:numPr>
              <w:spacing w:after="0" w:line="240" w:lineRule="auto"/>
              <w:ind w:left="425" w:hanging="357"/>
              <w:rPr>
                <w:rFonts w:ascii="Times New Roman" w:hAnsi="Times New Roman" w:cs="Times New Roman"/>
                <w:lang w:val="en-US"/>
              </w:rPr>
            </w:pPr>
            <w:r w:rsidRPr="003513D4">
              <w:rPr>
                <w:rFonts w:ascii="Times New Roman" w:hAnsi="Times New Roman" w:cs="Times New Roman"/>
                <w:lang w:val="en-US"/>
              </w:rPr>
              <w:t xml:space="preserve">Legislation, regulation and environmental management </w:t>
            </w:r>
          </w:p>
        </w:tc>
        <w:tc>
          <w:tcPr>
            <w:tcW w:w="633" w:type="dxa"/>
            <w:vAlign w:val="center"/>
          </w:tcPr>
          <w:p w:rsidR="00FA63A3" w:rsidRPr="003513D4" w:rsidRDefault="00FA63A3"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r w:rsidR="00471344" w:rsidRPr="003513D4">
              <w:rPr>
                <w:rFonts w:eastAsia="Times New Roman"/>
                <w:b w:val="0"/>
                <w:bCs w:val="0"/>
                <w:sz w:val="22"/>
                <w:szCs w:val="22"/>
                <w:lang w:val="en-GB" w:eastAsia="ru-RU"/>
              </w:rPr>
              <w:t xml:space="preserve"> </w:t>
            </w:r>
          </w:p>
        </w:tc>
        <w:tc>
          <w:tcPr>
            <w:tcW w:w="1134"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00471344" w:rsidRPr="003513D4">
              <w:rPr>
                <w:rFonts w:eastAsia="Times New Roman"/>
                <w:b w:val="0"/>
                <w:bCs w:val="0"/>
                <w:sz w:val="22"/>
                <w:szCs w:val="22"/>
                <w:vertAlign w:val="superscript"/>
                <w:lang w:val="en-GB" w:eastAsia="ru-RU"/>
              </w:rPr>
              <w:t>st</w:t>
            </w:r>
            <w:r w:rsidRPr="003513D4">
              <w:rPr>
                <w:rFonts w:eastAsia="Times New Roman"/>
                <w:b w:val="0"/>
                <w:bCs w:val="0"/>
                <w:sz w:val="22"/>
                <w:szCs w:val="22"/>
                <w:lang w:val="en-GB" w:eastAsia="ru-RU"/>
              </w:rPr>
              <w:t xml:space="preserve"> </w:t>
            </w:r>
          </w:p>
        </w:tc>
        <w:tc>
          <w:tcPr>
            <w:tcW w:w="992"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6</w:t>
            </w:r>
          </w:p>
        </w:tc>
        <w:tc>
          <w:tcPr>
            <w:tcW w:w="1276" w:type="dxa"/>
          </w:tcPr>
          <w:p w:rsidR="00FA63A3" w:rsidRPr="003513D4" w:rsidRDefault="00FA63A3" w:rsidP="00D44D21">
            <w:pPr>
              <w:rPr>
                <w:rFonts w:eastAsia="Times New Roman"/>
                <w:b w:val="0"/>
                <w:bCs w:val="0"/>
                <w:sz w:val="22"/>
                <w:szCs w:val="22"/>
                <w:lang w:val="en-GB" w:eastAsia="ru-RU"/>
              </w:rPr>
            </w:pPr>
          </w:p>
        </w:tc>
        <w:tc>
          <w:tcPr>
            <w:tcW w:w="1701" w:type="dxa"/>
          </w:tcPr>
          <w:p w:rsidR="00FA63A3" w:rsidRPr="003513D4" w:rsidRDefault="00FA63A3" w:rsidP="00D44D21">
            <w:pPr>
              <w:rPr>
                <w:rFonts w:eastAsia="Times New Roman"/>
                <w:b w:val="0"/>
                <w:bCs w:val="0"/>
                <w:sz w:val="22"/>
                <w:szCs w:val="22"/>
                <w:lang w:val="en-GB" w:eastAsia="ru-RU"/>
              </w:rPr>
            </w:pPr>
          </w:p>
        </w:tc>
        <w:tc>
          <w:tcPr>
            <w:tcW w:w="4394" w:type="dxa"/>
          </w:tcPr>
          <w:p w:rsidR="00FA63A3" w:rsidRPr="003513D4" w:rsidRDefault="00FA63A3" w:rsidP="00FA63A3">
            <w:pPr>
              <w:jc w:val="both"/>
              <w:rPr>
                <w:rFonts w:cstheme="minorHAnsi"/>
                <w:b w:val="0"/>
                <w:sz w:val="16"/>
                <w:szCs w:val="16"/>
                <w:shd w:val="clear" w:color="auto" w:fill="F0F0F0"/>
                <w:lang w:val="en-US"/>
              </w:rPr>
            </w:pPr>
            <w:r w:rsidRPr="003513D4">
              <w:rPr>
                <w:rFonts w:cstheme="minorHAnsi"/>
                <w:b w:val="0"/>
                <w:sz w:val="16"/>
                <w:szCs w:val="16"/>
                <w:shd w:val="clear" w:color="auto" w:fill="F0F0F0"/>
                <w:lang w:val="en-US"/>
              </w:rPr>
              <w:t xml:space="preserve">This chair includes three blocks. The first one </w:t>
            </w:r>
            <w:r w:rsidR="00226402">
              <w:rPr>
                <w:rFonts w:cstheme="minorHAnsi"/>
                <w:b w:val="0"/>
                <w:sz w:val="16"/>
                <w:szCs w:val="16"/>
                <w:shd w:val="clear" w:color="auto" w:fill="F0F0F0"/>
                <w:lang w:val="en-US"/>
              </w:rPr>
              <w:t>focuses on</w:t>
            </w:r>
            <w:r w:rsidRPr="003513D4">
              <w:rPr>
                <w:rFonts w:cstheme="minorHAnsi"/>
                <w:b w:val="0"/>
                <w:sz w:val="16"/>
                <w:szCs w:val="16"/>
                <w:shd w:val="clear" w:color="auto" w:fill="F0F0F0"/>
                <w:lang w:val="en-US"/>
              </w:rPr>
              <w:t xml:space="preserve"> different aspects of environmental legislation, environmental protection laws and sustainability of natural resources. Public and private organisms specialized in environmental protection, liability of environmental damage, and available economic and legal instruments to enforce environmental protection and the prevention of pollution are studied.</w:t>
            </w:r>
          </w:p>
          <w:p w:rsidR="00FA63A3" w:rsidRPr="003513D4" w:rsidRDefault="00FA63A3" w:rsidP="00FA63A3">
            <w:pPr>
              <w:jc w:val="both"/>
              <w:rPr>
                <w:rFonts w:cstheme="minorHAnsi"/>
                <w:b w:val="0"/>
                <w:sz w:val="16"/>
                <w:szCs w:val="16"/>
                <w:shd w:val="clear" w:color="auto" w:fill="F0F0F0"/>
                <w:lang w:val="en-US"/>
              </w:rPr>
            </w:pPr>
            <w:r w:rsidRPr="003513D4">
              <w:rPr>
                <w:rFonts w:cstheme="minorHAnsi"/>
                <w:b w:val="0"/>
                <w:sz w:val="16"/>
                <w:szCs w:val="16"/>
                <w:shd w:val="clear" w:color="auto" w:fill="F0F0F0"/>
                <w:lang w:val="en-US"/>
              </w:rPr>
              <w:t>The second block discusses methodologies for environmental assessment. These include the selection, compilation, analysis and assessment of environmental variables and identification of environmental units. Finally, technical instruments for assessment and prevention of risks, impacts and damages caused to the environment, and instruments for pollution control</w:t>
            </w:r>
            <w:r w:rsidR="000653B6">
              <w:rPr>
                <w:rFonts w:cstheme="minorHAnsi"/>
                <w:b w:val="0"/>
                <w:sz w:val="16"/>
                <w:szCs w:val="16"/>
                <w:shd w:val="clear" w:color="auto" w:fill="F0F0F0"/>
                <w:lang w:val="en-US"/>
              </w:rPr>
              <w:t>,</w:t>
            </w:r>
            <w:r w:rsidRPr="003513D4">
              <w:rPr>
                <w:rFonts w:cstheme="minorHAnsi"/>
                <w:b w:val="0"/>
                <w:sz w:val="16"/>
                <w:szCs w:val="16"/>
                <w:shd w:val="clear" w:color="auto" w:fill="F0F0F0"/>
                <w:lang w:val="en-US"/>
              </w:rPr>
              <w:t xml:space="preserve"> are studied.</w:t>
            </w:r>
          </w:p>
          <w:p w:rsidR="00FA63A3" w:rsidRPr="00F11415" w:rsidRDefault="00FA63A3" w:rsidP="00D44D21">
            <w:pPr>
              <w:jc w:val="both"/>
              <w:rPr>
                <w:rFonts w:cstheme="minorHAnsi"/>
                <w:b w:val="0"/>
                <w:sz w:val="24"/>
                <w:szCs w:val="24"/>
                <w:shd w:val="clear" w:color="auto" w:fill="F0F0F0"/>
                <w:lang w:val="en-US"/>
              </w:rPr>
            </w:pPr>
            <w:r w:rsidRPr="003513D4">
              <w:rPr>
                <w:rFonts w:cstheme="minorHAnsi"/>
                <w:b w:val="0"/>
                <w:sz w:val="16"/>
                <w:szCs w:val="16"/>
                <w:shd w:val="clear" w:color="auto" w:fill="F0F0F0"/>
                <w:lang w:val="en-US"/>
              </w:rPr>
              <w:t>The third block is focused on environmental assessment studies: Environmental actions, factors, indicators, and matrices that lead to the identification of impacts and to propose protection measures, and control and surveillance plans. This block also includes the self-regulation and environmental management in industry and environmental audits.</w:t>
            </w:r>
          </w:p>
        </w:tc>
        <w:tc>
          <w:tcPr>
            <w:tcW w:w="1916" w:type="dxa"/>
            <w:vAlign w:val="center"/>
          </w:tcPr>
          <w:p w:rsidR="00FA63A3" w:rsidRPr="003513D4" w:rsidRDefault="00FA63A3" w:rsidP="00D44D21">
            <w:pPr>
              <w:rPr>
                <w:b w:val="0"/>
                <w:bCs w:val="0"/>
                <w:sz w:val="22"/>
                <w:szCs w:val="22"/>
                <w:lang w:val="en-GB"/>
              </w:rPr>
            </w:pPr>
          </w:p>
        </w:tc>
      </w:tr>
      <w:tr w:rsidR="00FA63A3" w:rsidRPr="00BB13FF" w:rsidTr="00DA5AA0">
        <w:trPr>
          <w:trHeight w:val="74"/>
        </w:trPr>
        <w:tc>
          <w:tcPr>
            <w:tcW w:w="2877" w:type="dxa"/>
            <w:vAlign w:val="center"/>
          </w:tcPr>
          <w:p w:rsidR="00FA63A3" w:rsidRPr="003513D4" w:rsidRDefault="00FA63A3"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t>Analytical strategies applied to environmental studies</w:t>
            </w:r>
          </w:p>
        </w:tc>
        <w:tc>
          <w:tcPr>
            <w:tcW w:w="633" w:type="dxa"/>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r w:rsidRPr="003513D4">
              <w:rPr>
                <w:rFonts w:eastAsia="Times New Roman"/>
                <w:b w:val="0"/>
                <w:bCs w:val="0"/>
                <w:sz w:val="22"/>
                <w:szCs w:val="22"/>
                <w:lang w:val="en-GB" w:eastAsia="ru-RU"/>
              </w:rPr>
              <w:t xml:space="preserve"> </w:t>
            </w:r>
          </w:p>
        </w:tc>
        <w:tc>
          <w:tcPr>
            <w:tcW w:w="1134" w:type="dxa"/>
            <w:gridSpan w:val="2"/>
            <w:vAlign w:val="center"/>
          </w:tcPr>
          <w:p w:rsidR="00FA63A3" w:rsidRPr="003513D4" w:rsidRDefault="00471344"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992"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6</w:t>
            </w:r>
          </w:p>
        </w:tc>
        <w:tc>
          <w:tcPr>
            <w:tcW w:w="1276" w:type="dxa"/>
          </w:tcPr>
          <w:p w:rsidR="00FA63A3" w:rsidRPr="003513D4" w:rsidRDefault="00FA63A3" w:rsidP="00D44D21">
            <w:pPr>
              <w:rPr>
                <w:rFonts w:eastAsia="Times New Roman"/>
                <w:b w:val="0"/>
                <w:bCs w:val="0"/>
                <w:sz w:val="22"/>
                <w:szCs w:val="22"/>
                <w:lang w:val="en-GB" w:eastAsia="ru-RU"/>
              </w:rPr>
            </w:pPr>
          </w:p>
        </w:tc>
        <w:tc>
          <w:tcPr>
            <w:tcW w:w="1701" w:type="dxa"/>
          </w:tcPr>
          <w:p w:rsidR="00FA63A3" w:rsidRPr="003513D4" w:rsidRDefault="00FA63A3" w:rsidP="00D44D21">
            <w:pPr>
              <w:rPr>
                <w:rFonts w:eastAsia="Times New Roman"/>
                <w:b w:val="0"/>
                <w:bCs w:val="0"/>
                <w:sz w:val="22"/>
                <w:szCs w:val="22"/>
                <w:lang w:val="en-GB" w:eastAsia="ru-RU"/>
              </w:rPr>
            </w:pPr>
          </w:p>
        </w:tc>
        <w:tc>
          <w:tcPr>
            <w:tcW w:w="4394" w:type="dxa"/>
          </w:tcPr>
          <w:p w:rsidR="00FA63A3" w:rsidRPr="003513D4" w:rsidRDefault="00FA63A3" w:rsidP="00154E04">
            <w:pPr>
              <w:jc w:val="both"/>
              <w:rPr>
                <w:b w:val="0"/>
                <w:bCs w:val="0"/>
                <w:sz w:val="16"/>
                <w:szCs w:val="16"/>
                <w:lang w:val="en-US"/>
              </w:rPr>
            </w:pPr>
            <w:r w:rsidRPr="003513D4">
              <w:rPr>
                <w:rFonts w:cstheme="minorHAnsi"/>
                <w:b w:val="0"/>
                <w:color w:val="000000"/>
                <w:sz w:val="16"/>
                <w:szCs w:val="16"/>
                <w:shd w:val="clear" w:color="auto" w:fill="F0F0F0"/>
                <w:lang w:val="en-US"/>
              </w:rPr>
              <w:t>This chair’s main objective is to contribute to develop an “analytical criterion” so the student will learn to solve problems of different nature independently, selecting the analytical method that is more appropriate for each study case. The advances and current trends in sample preparation and instrumental determination will be studied, including specific methodologies to measure pollutants in different media</w:t>
            </w:r>
            <w:r w:rsidR="00C45290" w:rsidRPr="003513D4">
              <w:rPr>
                <w:rFonts w:cstheme="minorHAnsi"/>
                <w:b w:val="0"/>
                <w:color w:val="000000"/>
                <w:sz w:val="16"/>
                <w:szCs w:val="16"/>
                <w:shd w:val="clear" w:color="auto" w:fill="F0F0F0"/>
                <w:lang w:val="en-US"/>
              </w:rPr>
              <w:t xml:space="preserve"> (air, water, soil, sediments</w:t>
            </w:r>
            <w:r w:rsidRPr="003513D4">
              <w:rPr>
                <w:rFonts w:cstheme="minorHAnsi"/>
                <w:b w:val="0"/>
                <w:color w:val="000000"/>
                <w:sz w:val="16"/>
                <w:szCs w:val="16"/>
                <w:shd w:val="clear" w:color="auto" w:fill="F0F0F0"/>
                <w:lang w:val="en-US"/>
              </w:rPr>
              <w:t>). A relevant part of this chair includes student’s work in the laboratory learning different analytical methods.</w:t>
            </w:r>
          </w:p>
        </w:tc>
        <w:tc>
          <w:tcPr>
            <w:tcW w:w="1916" w:type="dxa"/>
            <w:vAlign w:val="center"/>
          </w:tcPr>
          <w:p w:rsidR="00FA63A3" w:rsidRPr="003513D4" w:rsidRDefault="00FA63A3" w:rsidP="00D44D21">
            <w:pPr>
              <w:rPr>
                <w:b w:val="0"/>
                <w:bCs w:val="0"/>
                <w:sz w:val="22"/>
                <w:szCs w:val="22"/>
                <w:lang w:val="en-GB"/>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t>Statistical methods applied to environmental data</w:t>
            </w:r>
          </w:p>
        </w:tc>
        <w:tc>
          <w:tcPr>
            <w:tcW w:w="633" w:type="dxa"/>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992" w:type="dxa"/>
            <w:gridSpan w:val="2"/>
            <w:vAlign w:val="center"/>
          </w:tcPr>
          <w:p w:rsidR="00471344" w:rsidRPr="003513D4" w:rsidRDefault="00471344"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3</w:t>
            </w:r>
          </w:p>
        </w:tc>
        <w:tc>
          <w:tcPr>
            <w:tcW w:w="1276" w:type="dxa"/>
          </w:tcPr>
          <w:p w:rsidR="00471344" w:rsidRPr="003513D4" w:rsidRDefault="00471344" w:rsidP="00D44D21">
            <w:pPr>
              <w:rPr>
                <w:rFonts w:eastAsia="Times New Roman"/>
                <w:b w:val="0"/>
                <w:bCs w:val="0"/>
                <w:sz w:val="22"/>
                <w:szCs w:val="22"/>
                <w:lang w:val="en-GB" w:eastAsia="ru-RU"/>
              </w:rPr>
            </w:pPr>
          </w:p>
        </w:tc>
        <w:tc>
          <w:tcPr>
            <w:tcW w:w="1701" w:type="dxa"/>
          </w:tcPr>
          <w:p w:rsidR="00471344" w:rsidRPr="003513D4" w:rsidRDefault="00471344" w:rsidP="00D44D21">
            <w:pPr>
              <w:rPr>
                <w:rFonts w:eastAsia="Times New Roman"/>
                <w:b w:val="0"/>
                <w:bCs w:val="0"/>
                <w:sz w:val="22"/>
                <w:szCs w:val="22"/>
                <w:lang w:val="en-GB" w:eastAsia="ru-RU"/>
              </w:rPr>
            </w:pPr>
          </w:p>
        </w:tc>
        <w:tc>
          <w:tcPr>
            <w:tcW w:w="4394" w:type="dxa"/>
          </w:tcPr>
          <w:p w:rsidR="00471344" w:rsidRPr="003513D4" w:rsidRDefault="00471344" w:rsidP="00C45290">
            <w:pPr>
              <w:jc w:val="both"/>
              <w:rPr>
                <w:b w:val="0"/>
                <w:bCs w:val="0"/>
                <w:sz w:val="16"/>
                <w:szCs w:val="16"/>
                <w:lang w:val="en-US"/>
              </w:rPr>
            </w:pPr>
            <w:r w:rsidRPr="003513D4">
              <w:rPr>
                <w:rFonts w:cstheme="minorHAnsi"/>
                <w:b w:val="0"/>
                <w:color w:val="000000"/>
                <w:sz w:val="16"/>
                <w:szCs w:val="16"/>
                <w:shd w:val="clear" w:color="auto" w:fill="F0F0F0"/>
                <w:lang w:val="en-US"/>
              </w:rPr>
              <w:t>This chair focuses on the study of statistical methods that are useful for working with environmental data. Environmental studies usually involve big amounts of data, whose appropriate analysis is crucial to extract the relevant information contained in them. These methods include simple and multiple regressions and multivariate statistics, like principal components, discriminant and cluster analysis.</w:t>
            </w:r>
          </w:p>
        </w:tc>
        <w:tc>
          <w:tcPr>
            <w:tcW w:w="1916" w:type="dxa"/>
            <w:vAlign w:val="center"/>
          </w:tcPr>
          <w:p w:rsidR="00471344" w:rsidRPr="003513D4" w:rsidRDefault="00471344" w:rsidP="00D44D21">
            <w:pPr>
              <w:rPr>
                <w:b w:val="0"/>
                <w:bCs w:val="0"/>
                <w:sz w:val="22"/>
                <w:szCs w:val="22"/>
                <w:lang w:val="en-GB"/>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t xml:space="preserve">Ecology and environmental </w:t>
            </w:r>
            <w:proofErr w:type="spellStart"/>
            <w:r w:rsidRPr="003513D4">
              <w:rPr>
                <w:rFonts w:ascii="Times New Roman" w:hAnsi="Times New Roman" w:cs="Times New Roman"/>
                <w:lang w:val="en-US"/>
              </w:rPr>
              <w:lastRenderedPageBreak/>
              <w:t>biomonitoring</w:t>
            </w:r>
            <w:proofErr w:type="spellEnd"/>
          </w:p>
        </w:tc>
        <w:tc>
          <w:tcPr>
            <w:tcW w:w="633" w:type="dxa"/>
            <w:vAlign w:val="center"/>
          </w:tcPr>
          <w:p w:rsidR="00471344" w:rsidRPr="003513D4" w:rsidRDefault="00471344" w:rsidP="00471344">
            <w:pPr>
              <w:jc w:val="center"/>
            </w:pPr>
            <w:r w:rsidRPr="003513D4">
              <w:rPr>
                <w:rFonts w:eastAsia="Times New Roman"/>
                <w:b w:val="0"/>
                <w:bCs w:val="0"/>
                <w:sz w:val="22"/>
                <w:szCs w:val="22"/>
                <w:lang w:val="en-GB" w:eastAsia="ru-RU"/>
              </w:rPr>
              <w:lastRenderedPageBreak/>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992" w:type="dxa"/>
            <w:gridSpan w:val="2"/>
            <w:vAlign w:val="center"/>
          </w:tcPr>
          <w:p w:rsidR="00471344" w:rsidRPr="003513D4" w:rsidRDefault="00471344"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3</w:t>
            </w:r>
          </w:p>
        </w:tc>
        <w:tc>
          <w:tcPr>
            <w:tcW w:w="1276" w:type="dxa"/>
          </w:tcPr>
          <w:p w:rsidR="00471344" w:rsidRPr="003513D4" w:rsidRDefault="00471344" w:rsidP="00D44D21">
            <w:pPr>
              <w:rPr>
                <w:rFonts w:eastAsia="Times New Roman"/>
                <w:b w:val="0"/>
                <w:bCs w:val="0"/>
                <w:sz w:val="22"/>
                <w:szCs w:val="22"/>
                <w:lang w:val="en-GB" w:eastAsia="ru-RU"/>
              </w:rPr>
            </w:pPr>
          </w:p>
        </w:tc>
        <w:tc>
          <w:tcPr>
            <w:tcW w:w="1701" w:type="dxa"/>
          </w:tcPr>
          <w:p w:rsidR="00471344" w:rsidRPr="003513D4" w:rsidRDefault="00471344" w:rsidP="00D44D21">
            <w:pPr>
              <w:rPr>
                <w:rFonts w:eastAsia="Times New Roman"/>
                <w:b w:val="0"/>
                <w:bCs w:val="0"/>
                <w:sz w:val="22"/>
                <w:szCs w:val="22"/>
                <w:lang w:val="en-GB" w:eastAsia="ru-RU"/>
              </w:rPr>
            </w:pPr>
          </w:p>
        </w:tc>
        <w:tc>
          <w:tcPr>
            <w:tcW w:w="4394" w:type="dxa"/>
          </w:tcPr>
          <w:p w:rsidR="00471344" w:rsidRPr="003513D4" w:rsidRDefault="00471344" w:rsidP="00226402">
            <w:pPr>
              <w:jc w:val="both"/>
              <w:rPr>
                <w:b w:val="0"/>
                <w:bCs w:val="0"/>
                <w:sz w:val="16"/>
                <w:szCs w:val="16"/>
                <w:lang w:val="en-US"/>
              </w:rPr>
            </w:pPr>
            <w:r w:rsidRPr="003513D4">
              <w:rPr>
                <w:rFonts w:cstheme="minorHAnsi"/>
                <w:b w:val="0"/>
                <w:color w:val="000000"/>
                <w:sz w:val="16"/>
                <w:szCs w:val="16"/>
                <w:shd w:val="clear" w:color="auto" w:fill="F0F0F0"/>
                <w:lang w:val="en-US"/>
              </w:rPr>
              <w:t xml:space="preserve">This chair introduces the student to ecological studies. Basic theories of </w:t>
            </w:r>
            <w:r w:rsidRPr="003513D4">
              <w:rPr>
                <w:rFonts w:cstheme="minorHAnsi"/>
                <w:b w:val="0"/>
                <w:color w:val="000000"/>
                <w:sz w:val="16"/>
                <w:szCs w:val="16"/>
                <w:shd w:val="clear" w:color="auto" w:fill="F0F0F0"/>
                <w:lang w:val="en-US"/>
              </w:rPr>
              <w:lastRenderedPageBreak/>
              <w:t xml:space="preserve">ecology, evolution, and population dynamics will be discussed. Moreover, the structure of </w:t>
            </w:r>
            <w:r w:rsidR="00226402" w:rsidRPr="003513D4">
              <w:rPr>
                <w:rFonts w:cstheme="minorHAnsi"/>
                <w:b w:val="0"/>
                <w:color w:val="000000"/>
                <w:sz w:val="16"/>
                <w:szCs w:val="16"/>
                <w:shd w:val="clear" w:color="auto" w:fill="F0F0F0"/>
                <w:lang w:val="en-US"/>
              </w:rPr>
              <w:t>communities</w:t>
            </w:r>
            <w:r w:rsidR="00226402">
              <w:rPr>
                <w:rFonts w:cstheme="minorHAnsi"/>
                <w:b w:val="0"/>
                <w:color w:val="000000"/>
                <w:sz w:val="16"/>
                <w:szCs w:val="16"/>
                <w:shd w:val="clear" w:color="auto" w:fill="F0F0F0"/>
                <w:lang w:val="en-US"/>
              </w:rPr>
              <w:t>,</w:t>
            </w:r>
            <w:r w:rsidRPr="003513D4">
              <w:rPr>
                <w:rFonts w:cstheme="minorHAnsi"/>
                <w:b w:val="0"/>
                <w:color w:val="000000"/>
                <w:sz w:val="16"/>
                <w:szCs w:val="16"/>
                <w:shd w:val="clear" w:color="auto" w:fill="F0F0F0"/>
                <w:lang w:val="en-US"/>
              </w:rPr>
              <w:t xml:space="preserve"> and matter and energy fluxes</w:t>
            </w:r>
            <w:r w:rsidR="00226402">
              <w:rPr>
                <w:rFonts w:cstheme="minorHAnsi"/>
                <w:b w:val="0"/>
                <w:color w:val="000000"/>
                <w:sz w:val="16"/>
                <w:szCs w:val="16"/>
                <w:shd w:val="clear" w:color="auto" w:fill="F0F0F0"/>
                <w:lang w:val="en-US"/>
              </w:rPr>
              <w:t>,</w:t>
            </w:r>
            <w:r w:rsidRPr="003513D4">
              <w:rPr>
                <w:rFonts w:cstheme="minorHAnsi"/>
                <w:b w:val="0"/>
                <w:color w:val="000000"/>
                <w:sz w:val="16"/>
                <w:szCs w:val="16"/>
                <w:shd w:val="clear" w:color="auto" w:fill="F0F0F0"/>
                <w:lang w:val="en-US"/>
              </w:rPr>
              <w:t xml:space="preserve"> will be analyzed. Practical work will include the study of competition and predation strategies, spatial dynamics, and </w:t>
            </w:r>
            <w:proofErr w:type="spellStart"/>
            <w:r w:rsidRPr="003513D4">
              <w:rPr>
                <w:rFonts w:cstheme="minorHAnsi"/>
                <w:b w:val="0"/>
                <w:color w:val="000000"/>
                <w:sz w:val="16"/>
                <w:szCs w:val="16"/>
                <w:shd w:val="clear" w:color="auto" w:fill="F0F0F0"/>
                <w:lang w:val="en-US"/>
              </w:rPr>
              <w:t>metapopulations</w:t>
            </w:r>
            <w:proofErr w:type="spellEnd"/>
            <w:r w:rsidRPr="003513D4">
              <w:rPr>
                <w:rFonts w:cstheme="minorHAnsi"/>
                <w:b w:val="0"/>
                <w:color w:val="000000"/>
                <w:sz w:val="16"/>
                <w:szCs w:val="16"/>
                <w:shd w:val="clear" w:color="auto" w:fill="F0F0F0"/>
                <w:lang w:val="en-US"/>
              </w:rPr>
              <w:t xml:space="preserve">. Examples of </w:t>
            </w:r>
            <w:proofErr w:type="spellStart"/>
            <w:r w:rsidRPr="003513D4">
              <w:rPr>
                <w:rFonts w:cstheme="minorHAnsi"/>
                <w:b w:val="0"/>
                <w:color w:val="000000"/>
                <w:sz w:val="16"/>
                <w:szCs w:val="16"/>
                <w:shd w:val="clear" w:color="auto" w:fill="F0F0F0"/>
                <w:lang w:val="en-US"/>
              </w:rPr>
              <w:t>biomonitorization</w:t>
            </w:r>
            <w:proofErr w:type="spellEnd"/>
            <w:r w:rsidRPr="003513D4">
              <w:rPr>
                <w:rFonts w:cstheme="minorHAnsi"/>
                <w:b w:val="0"/>
                <w:color w:val="000000"/>
                <w:sz w:val="16"/>
                <w:szCs w:val="16"/>
                <w:shd w:val="clear" w:color="auto" w:fill="F0F0F0"/>
                <w:lang w:val="en-US"/>
              </w:rPr>
              <w:t>, discussing the example of antifouling paints, will be studied. Th</w:t>
            </w:r>
            <w:r w:rsidR="00226402">
              <w:rPr>
                <w:rFonts w:cstheme="minorHAnsi"/>
                <w:b w:val="0"/>
                <w:color w:val="000000"/>
                <w:sz w:val="16"/>
                <w:szCs w:val="16"/>
                <w:shd w:val="clear" w:color="auto" w:fill="F0F0F0"/>
                <w:lang w:val="en-US"/>
              </w:rPr>
              <w:t xml:space="preserve">e final part of this chair is focused on </w:t>
            </w:r>
            <w:proofErr w:type="spellStart"/>
            <w:r w:rsidRPr="003513D4">
              <w:rPr>
                <w:rFonts w:cstheme="minorHAnsi"/>
                <w:b w:val="0"/>
                <w:color w:val="000000"/>
                <w:sz w:val="16"/>
                <w:szCs w:val="16"/>
                <w:shd w:val="clear" w:color="auto" w:fill="F0F0F0"/>
                <w:lang w:val="en-US"/>
              </w:rPr>
              <w:t>palaeoecology</w:t>
            </w:r>
            <w:proofErr w:type="spellEnd"/>
            <w:r w:rsidR="00226402">
              <w:rPr>
                <w:rFonts w:cstheme="minorHAnsi"/>
                <w:b w:val="0"/>
                <w:color w:val="000000"/>
                <w:sz w:val="16"/>
                <w:szCs w:val="16"/>
                <w:shd w:val="clear" w:color="auto" w:fill="F0F0F0"/>
                <w:lang w:val="en-US"/>
              </w:rPr>
              <w:t xml:space="preserve"> studies</w:t>
            </w:r>
            <w:r w:rsidRPr="003513D4">
              <w:rPr>
                <w:rFonts w:cstheme="minorHAnsi"/>
                <w:b w:val="0"/>
                <w:color w:val="000000"/>
                <w:sz w:val="16"/>
                <w:szCs w:val="16"/>
                <w:shd w:val="clear" w:color="auto" w:fill="F0F0F0"/>
                <w:lang w:val="en-US"/>
              </w:rPr>
              <w:t>.</w:t>
            </w:r>
          </w:p>
        </w:tc>
        <w:tc>
          <w:tcPr>
            <w:tcW w:w="1916" w:type="dxa"/>
            <w:vAlign w:val="center"/>
          </w:tcPr>
          <w:p w:rsidR="00471344" w:rsidRPr="00226402" w:rsidRDefault="00471344" w:rsidP="00D44D21">
            <w:pPr>
              <w:rPr>
                <w:b w:val="0"/>
                <w:bCs w:val="0"/>
                <w:sz w:val="22"/>
                <w:szCs w:val="22"/>
                <w:lang w:val="en-US"/>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lastRenderedPageBreak/>
              <w:t>Water quality</w:t>
            </w:r>
          </w:p>
        </w:tc>
        <w:tc>
          <w:tcPr>
            <w:tcW w:w="633" w:type="dxa"/>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992" w:type="dxa"/>
            <w:gridSpan w:val="2"/>
            <w:vAlign w:val="center"/>
          </w:tcPr>
          <w:p w:rsidR="00471344" w:rsidRPr="003513D4" w:rsidRDefault="00471344"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6</w:t>
            </w:r>
          </w:p>
        </w:tc>
        <w:tc>
          <w:tcPr>
            <w:tcW w:w="1276" w:type="dxa"/>
          </w:tcPr>
          <w:p w:rsidR="00471344" w:rsidRPr="003513D4" w:rsidRDefault="00471344" w:rsidP="00D44D21">
            <w:pPr>
              <w:rPr>
                <w:rFonts w:eastAsia="Times New Roman"/>
                <w:b w:val="0"/>
                <w:bCs w:val="0"/>
                <w:sz w:val="22"/>
                <w:szCs w:val="22"/>
                <w:lang w:val="en-GB" w:eastAsia="ru-RU"/>
              </w:rPr>
            </w:pPr>
          </w:p>
        </w:tc>
        <w:tc>
          <w:tcPr>
            <w:tcW w:w="1701" w:type="dxa"/>
          </w:tcPr>
          <w:p w:rsidR="00471344" w:rsidRPr="003513D4" w:rsidRDefault="00471344" w:rsidP="00D44D21">
            <w:pPr>
              <w:rPr>
                <w:rFonts w:eastAsia="Times New Roman"/>
                <w:b w:val="0"/>
                <w:bCs w:val="0"/>
                <w:sz w:val="22"/>
                <w:szCs w:val="22"/>
                <w:lang w:val="en-GB" w:eastAsia="ru-RU"/>
              </w:rPr>
            </w:pPr>
          </w:p>
        </w:tc>
        <w:tc>
          <w:tcPr>
            <w:tcW w:w="4394" w:type="dxa"/>
          </w:tcPr>
          <w:p w:rsidR="00471344" w:rsidRPr="003513D4" w:rsidRDefault="00471344" w:rsidP="00C45290">
            <w:pPr>
              <w:jc w:val="both"/>
              <w:rPr>
                <w:b w:val="0"/>
                <w:bCs w:val="0"/>
                <w:sz w:val="16"/>
                <w:szCs w:val="16"/>
                <w:lang w:val="en-US"/>
              </w:rPr>
            </w:pPr>
            <w:r w:rsidRPr="003513D4">
              <w:rPr>
                <w:rFonts w:cstheme="minorHAnsi"/>
                <w:b w:val="0"/>
                <w:color w:val="000000"/>
                <w:sz w:val="16"/>
                <w:szCs w:val="16"/>
                <w:shd w:val="clear" w:color="auto" w:fill="F0F0F0"/>
                <w:lang w:val="en-US"/>
              </w:rPr>
              <w:t xml:space="preserve">This chair focuses on natural and wastewater studies, including the characterization of waters, the definition of </w:t>
            </w:r>
            <w:proofErr w:type="spellStart"/>
            <w:r w:rsidRPr="003513D4">
              <w:rPr>
                <w:rFonts w:cstheme="minorHAnsi"/>
                <w:b w:val="0"/>
                <w:color w:val="000000"/>
                <w:sz w:val="16"/>
                <w:szCs w:val="16"/>
                <w:shd w:val="clear" w:color="auto" w:fill="F0F0F0"/>
                <w:lang w:val="en-US"/>
              </w:rPr>
              <w:t>physico</w:t>
            </w:r>
            <w:proofErr w:type="spellEnd"/>
            <w:r w:rsidRPr="003513D4">
              <w:rPr>
                <w:rFonts w:cstheme="minorHAnsi"/>
                <w:b w:val="0"/>
                <w:color w:val="000000"/>
                <w:sz w:val="16"/>
                <w:szCs w:val="16"/>
                <w:shd w:val="clear" w:color="auto" w:fill="F0F0F0"/>
                <w:lang w:val="en-US"/>
              </w:rPr>
              <w:t xml:space="preserve">-chemical and biological pollution indicators, and wastewater treatment. Different processes used in wastewater treatment plants are studied: </w:t>
            </w:r>
            <w:proofErr w:type="spellStart"/>
            <w:r w:rsidRPr="003513D4">
              <w:rPr>
                <w:rFonts w:cstheme="minorHAnsi"/>
                <w:b w:val="0"/>
                <w:color w:val="000000"/>
                <w:sz w:val="16"/>
                <w:szCs w:val="16"/>
                <w:shd w:val="clear" w:color="auto" w:fill="F0F0F0"/>
                <w:lang w:val="en-US"/>
              </w:rPr>
              <w:t>Physico</w:t>
            </w:r>
            <w:proofErr w:type="spellEnd"/>
            <w:r w:rsidRPr="003513D4">
              <w:rPr>
                <w:rFonts w:cstheme="minorHAnsi"/>
                <w:b w:val="0"/>
                <w:color w:val="000000"/>
                <w:sz w:val="16"/>
                <w:szCs w:val="16"/>
                <w:shd w:val="clear" w:color="auto" w:fill="F0F0F0"/>
                <w:lang w:val="en-US"/>
              </w:rPr>
              <w:t>-chemical treatments (settling, coagulation-flocculation, sedimentation, flotation, adsorption, ion-exchange, redox-processes) and biological treatments (aerobic and anaerobic digestion, nutrient removal). The chair includes visits to water treatment plants, and laboratory work to determine microbiological parameters in water, to remove heavy metal from wastewater, and to identify both organic and inorganic compounds in water samples.</w:t>
            </w:r>
          </w:p>
        </w:tc>
        <w:tc>
          <w:tcPr>
            <w:tcW w:w="1916" w:type="dxa"/>
            <w:vAlign w:val="center"/>
          </w:tcPr>
          <w:p w:rsidR="00471344" w:rsidRPr="003513D4" w:rsidRDefault="00471344" w:rsidP="00D44D21">
            <w:pPr>
              <w:rPr>
                <w:b w:val="0"/>
                <w:bCs w:val="0"/>
                <w:sz w:val="22"/>
                <w:szCs w:val="22"/>
                <w:lang w:val="en-GB"/>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t>Soil quality</w:t>
            </w:r>
          </w:p>
        </w:tc>
        <w:tc>
          <w:tcPr>
            <w:tcW w:w="633" w:type="dxa"/>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471344">
            <w:pPr>
              <w:jc w:val="cente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992" w:type="dxa"/>
            <w:gridSpan w:val="2"/>
            <w:vAlign w:val="center"/>
          </w:tcPr>
          <w:p w:rsidR="00471344" w:rsidRPr="003513D4" w:rsidRDefault="00471344"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3</w:t>
            </w:r>
          </w:p>
        </w:tc>
        <w:tc>
          <w:tcPr>
            <w:tcW w:w="1276" w:type="dxa"/>
          </w:tcPr>
          <w:p w:rsidR="00471344" w:rsidRPr="003513D4" w:rsidRDefault="00471344" w:rsidP="00D44D21">
            <w:pPr>
              <w:rPr>
                <w:rFonts w:eastAsia="Times New Roman"/>
                <w:b w:val="0"/>
                <w:bCs w:val="0"/>
                <w:sz w:val="22"/>
                <w:szCs w:val="22"/>
                <w:lang w:val="en-GB" w:eastAsia="ru-RU"/>
              </w:rPr>
            </w:pPr>
          </w:p>
        </w:tc>
        <w:tc>
          <w:tcPr>
            <w:tcW w:w="1701" w:type="dxa"/>
          </w:tcPr>
          <w:p w:rsidR="00471344" w:rsidRPr="003513D4" w:rsidRDefault="00471344" w:rsidP="00D44D21">
            <w:pPr>
              <w:rPr>
                <w:rFonts w:eastAsia="Times New Roman"/>
                <w:b w:val="0"/>
                <w:bCs w:val="0"/>
                <w:sz w:val="22"/>
                <w:szCs w:val="22"/>
                <w:lang w:val="en-GB" w:eastAsia="ru-RU"/>
              </w:rPr>
            </w:pPr>
          </w:p>
        </w:tc>
        <w:tc>
          <w:tcPr>
            <w:tcW w:w="4394" w:type="dxa"/>
          </w:tcPr>
          <w:p w:rsidR="00471344" w:rsidRPr="003513D4" w:rsidRDefault="00471344" w:rsidP="00C45290">
            <w:pPr>
              <w:jc w:val="both"/>
              <w:rPr>
                <w:b w:val="0"/>
                <w:bCs w:val="0"/>
                <w:sz w:val="16"/>
                <w:szCs w:val="16"/>
                <w:lang w:val="en-US"/>
              </w:rPr>
            </w:pPr>
            <w:r w:rsidRPr="003513D4">
              <w:rPr>
                <w:rFonts w:cstheme="minorHAnsi"/>
                <w:b w:val="0"/>
                <w:color w:val="000000"/>
                <w:sz w:val="16"/>
                <w:szCs w:val="16"/>
                <w:shd w:val="clear" w:color="auto" w:fill="F0F0F0"/>
                <w:lang w:val="en-US"/>
              </w:rPr>
              <w:t>The aim of this chair is to study the concept of soil quality. The main soil characteristics involved in soil quality will be introduced, as well as soil functioning and self-restoring capacity. Soil quality, and the main quality indicators and risks for soil quality are defined, including the different types of soil degradation: physical degradation (soil erosion, compaction), and soil pollution (nutrients, heavy metals, organic compounds). Treatment and restoration of polluted soil (mechanical, chemical and biological), with special emphasis in phytoremediation, are studied.</w:t>
            </w:r>
          </w:p>
        </w:tc>
        <w:tc>
          <w:tcPr>
            <w:tcW w:w="1916" w:type="dxa"/>
            <w:vAlign w:val="center"/>
          </w:tcPr>
          <w:p w:rsidR="00471344" w:rsidRPr="003513D4" w:rsidRDefault="00471344" w:rsidP="00D44D21">
            <w:pPr>
              <w:rPr>
                <w:b w:val="0"/>
                <w:bCs w:val="0"/>
                <w:sz w:val="22"/>
                <w:szCs w:val="22"/>
                <w:lang w:val="en-GB"/>
              </w:rPr>
            </w:pPr>
          </w:p>
        </w:tc>
      </w:tr>
      <w:tr w:rsidR="00FA63A3" w:rsidRPr="00BB13FF" w:rsidTr="00DA5AA0">
        <w:trPr>
          <w:trHeight w:val="74"/>
        </w:trPr>
        <w:tc>
          <w:tcPr>
            <w:tcW w:w="2877" w:type="dxa"/>
            <w:vAlign w:val="center"/>
          </w:tcPr>
          <w:p w:rsidR="00FA63A3" w:rsidRPr="003513D4" w:rsidRDefault="00FA63A3" w:rsidP="00DA5AA0">
            <w:pPr>
              <w:pStyle w:val="ListParagraph"/>
              <w:numPr>
                <w:ilvl w:val="0"/>
                <w:numId w:val="1"/>
              </w:numPr>
              <w:spacing w:after="0" w:line="240" w:lineRule="auto"/>
              <w:ind w:left="425" w:hanging="357"/>
              <w:rPr>
                <w:rFonts w:ascii="Times New Roman" w:eastAsia="Times New Roman" w:hAnsi="Times New Roman" w:cs="Times New Roman"/>
                <w:lang w:val="en-GB" w:eastAsia="ru-RU"/>
              </w:rPr>
            </w:pPr>
            <w:r w:rsidRPr="003513D4">
              <w:rPr>
                <w:rFonts w:ascii="Times New Roman" w:hAnsi="Times New Roman" w:cs="Times New Roman"/>
                <w:lang w:val="en-US"/>
              </w:rPr>
              <w:t>Air quality</w:t>
            </w:r>
          </w:p>
        </w:tc>
        <w:tc>
          <w:tcPr>
            <w:tcW w:w="633" w:type="dxa"/>
            <w:vAlign w:val="center"/>
          </w:tcPr>
          <w:p w:rsidR="00FA63A3" w:rsidRPr="003513D4" w:rsidRDefault="00FA63A3" w:rsidP="00D44D21">
            <w:pPr>
              <w:jc w:val="center"/>
              <w:rPr>
                <w:rFonts w:eastAsia="Times New Roman"/>
                <w:b w:val="0"/>
                <w:bCs w:val="0"/>
                <w:sz w:val="22"/>
                <w:szCs w:val="22"/>
                <w:lang w:val="en-GB" w:eastAsia="ru-RU"/>
              </w:rPr>
            </w:pPr>
          </w:p>
        </w:tc>
        <w:tc>
          <w:tcPr>
            <w:tcW w:w="1134" w:type="dxa"/>
            <w:gridSpan w:val="2"/>
            <w:vAlign w:val="center"/>
          </w:tcPr>
          <w:p w:rsidR="00FA63A3" w:rsidRPr="003513D4" w:rsidRDefault="00FA63A3" w:rsidP="00D44D21">
            <w:pPr>
              <w:jc w:val="center"/>
              <w:rPr>
                <w:rFonts w:eastAsia="Times New Roman"/>
                <w:b w:val="0"/>
                <w:bCs w:val="0"/>
                <w:sz w:val="22"/>
                <w:szCs w:val="22"/>
                <w:lang w:val="en-GB" w:eastAsia="ru-RU"/>
              </w:rPr>
            </w:pPr>
          </w:p>
        </w:tc>
        <w:tc>
          <w:tcPr>
            <w:tcW w:w="992"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3</w:t>
            </w:r>
          </w:p>
        </w:tc>
        <w:tc>
          <w:tcPr>
            <w:tcW w:w="1276" w:type="dxa"/>
          </w:tcPr>
          <w:p w:rsidR="00FA63A3" w:rsidRPr="003513D4" w:rsidRDefault="00FA63A3" w:rsidP="00D44D21">
            <w:pPr>
              <w:rPr>
                <w:rFonts w:eastAsia="Times New Roman"/>
                <w:b w:val="0"/>
                <w:bCs w:val="0"/>
                <w:sz w:val="22"/>
                <w:szCs w:val="22"/>
                <w:lang w:val="en-GB" w:eastAsia="ru-RU"/>
              </w:rPr>
            </w:pPr>
          </w:p>
        </w:tc>
        <w:tc>
          <w:tcPr>
            <w:tcW w:w="1701" w:type="dxa"/>
          </w:tcPr>
          <w:p w:rsidR="00FA63A3" w:rsidRPr="003513D4" w:rsidRDefault="00FA63A3" w:rsidP="00D44D21">
            <w:pPr>
              <w:rPr>
                <w:rFonts w:eastAsia="Times New Roman"/>
                <w:b w:val="0"/>
                <w:bCs w:val="0"/>
                <w:sz w:val="22"/>
                <w:szCs w:val="22"/>
                <w:lang w:val="en-GB" w:eastAsia="ru-RU"/>
              </w:rPr>
            </w:pPr>
          </w:p>
        </w:tc>
        <w:tc>
          <w:tcPr>
            <w:tcW w:w="4394" w:type="dxa"/>
          </w:tcPr>
          <w:p w:rsidR="00FA63A3" w:rsidRPr="003513D4" w:rsidRDefault="00FA63A3" w:rsidP="005B24AE">
            <w:pPr>
              <w:jc w:val="both"/>
              <w:rPr>
                <w:b w:val="0"/>
                <w:bCs w:val="0"/>
                <w:sz w:val="16"/>
                <w:szCs w:val="16"/>
                <w:lang w:val="en-US"/>
              </w:rPr>
            </w:pPr>
            <w:r w:rsidRPr="003513D4">
              <w:rPr>
                <w:rFonts w:cstheme="minorHAnsi"/>
                <w:b w:val="0"/>
                <w:color w:val="000000"/>
                <w:sz w:val="16"/>
                <w:szCs w:val="16"/>
                <w:shd w:val="clear" w:color="auto" w:fill="F0F0F0"/>
                <w:lang w:val="en-US"/>
              </w:rPr>
              <w:t>This chair focuses on air quality, including analytical methods to measure parameters in air, the most common air pollutants, pollutant dispersion processes, and technologies to clean polluted atmospheres. Studied methodologies include sampling and analysis methods of main air pollutants and types of surveillance networks used for air pollution control. Pollutants diffusion in the atmosphere will be analyzed, including Gaussian dispersion and soil concentrations. Special emphasis is made in the main human activities causing air pollution and the distribution of pollutants in industrial smoke plumes. Among the technologies of air-pollutant removal, particle removal and gas/</w:t>
            </w:r>
            <w:proofErr w:type="spellStart"/>
            <w:r w:rsidRPr="003513D4">
              <w:rPr>
                <w:rFonts w:cstheme="minorHAnsi"/>
                <w:b w:val="0"/>
                <w:color w:val="000000"/>
                <w:sz w:val="16"/>
                <w:szCs w:val="16"/>
                <w:shd w:val="clear" w:color="auto" w:fill="F0F0F0"/>
                <w:lang w:val="en-US"/>
              </w:rPr>
              <w:t>vapour</w:t>
            </w:r>
            <w:proofErr w:type="spellEnd"/>
            <w:r w:rsidRPr="003513D4">
              <w:rPr>
                <w:rFonts w:cstheme="minorHAnsi"/>
                <w:b w:val="0"/>
                <w:color w:val="000000"/>
                <w:sz w:val="16"/>
                <w:szCs w:val="16"/>
                <w:shd w:val="clear" w:color="auto" w:fill="F0F0F0"/>
                <w:lang w:val="en-US"/>
              </w:rPr>
              <w:t xml:space="preserve"> technologies will be analyzed, including its design. Practical cases will include the interpretation of air analysis results.</w:t>
            </w:r>
          </w:p>
        </w:tc>
        <w:tc>
          <w:tcPr>
            <w:tcW w:w="1916" w:type="dxa"/>
            <w:vAlign w:val="center"/>
          </w:tcPr>
          <w:p w:rsidR="00FA63A3" w:rsidRPr="003513D4" w:rsidRDefault="00FA63A3" w:rsidP="00D44D21">
            <w:pPr>
              <w:rPr>
                <w:b w:val="0"/>
                <w:bCs w:val="0"/>
                <w:sz w:val="22"/>
                <w:szCs w:val="22"/>
                <w:lang w:val="en-GB"/>
              </w:rPr>
            </w:pPr>
          </w:p>
        </w:tc>
      </w:tr>
      <w:tr w:rsidR="00FA63A3" w:rsidRPr="00BB13FF" w:rsidTr="00DA5AA0">
        <w:trPr>
          <w:trHeight w:val="74"/>
        </w:trPr>
        <w:tc>
          <w:tcPr>
            <w:tcW w:w="2877" w:type="dxa"/>
            <w:vAlign w:val="center"/>
          </w:tcPr>
          <w:p w:rsidR="00FA63A3" w:rsidRPr="003513D4" w:rsidRDefault="00FA63A3" w:rsidP="00DA5AA0">
            <w:pPr>
              <w:rPr>
                <w:rFonts w:eastAsia="Times New Roman"/>
                <w:sz w:val="22"/>
                <w:szCs w:val="22"/>
                <w:lang w:val="en-GB" w:eastAsia="ru-RU"/>
              </w:rPr>
            </w:pPr>
            <w:r w:rsidRPr="003513D4">
              <w:rPr>
                <w:rFonts w:eastAsia="Times New Roman"/>
                <w:sz w:val="22"/>
                <w:szCs w:val="22"/>
                <w:lang w:val="en-GB" w:eastAsia="ru-RU"/>
              </w:rPr>
              <w:t>Total</w:t>
            </w:r>
          </w:p>
        </w:tc>
        <w:tc>
          <w:tcPr>
            <w:tcW w:w="633" w:type="dxa"/>
            <w:vAlign w:val="center"/>
          </w:tcPr>
          <w:p w:rsidR="00FA63A3" w:rsidRPr="00FC3C1A" w:rsidRDefault="00FC3C1A" w:rsidP="00D44D21">
            <w:pPr>
              <w:jc w:val="center"/>
              <w:rPr>
                <w:rFonts w:eastAsia="Times New Roman"/>
                <w:bCs w:val="0"/>
                <w:sz w:val="22"/>
                <w:szCs w:val="22"/>
                <w:lang w:val="en-GB" w:eastAsia="ru-RU"/>
              </w:rPr>
            </w:pPr>
            <w:r w:rsidRPr="00FC3C1A">
              <w:rPr>
                <w:rFonts w:eastAsia="Times New Roman"/>
                <w:bCs w:val="0"/>
                <w:sz w:val="22"/>
                <w:szCs w:val="22"/>
                <w:lang w:val="en-GB" w:eastAsia="ru-RU"/>
              </w:rPr>
              <w:t>1</w:t>
            </w:r>
          </w:p>
        </w:tc>
        <w:tc>
          <w:tcPr>
            <w:tcW w:w="1134" w:type="dxa"/>
            <w:gridSpan w:val="2"/>
            <w:vAlign w:val="center"/>
          </w:tcPr>
          <w:p w:rsidR="00FA63A3" w:rsidRPr="003513D4" w:rsidRDefault="00FC3C1A" w:rsidP="00D44D21">
            <w:pPr>
              <w:jc w:val="center"/>
              <w:rPr>
                <w:rFonts w:eastAsia="Times New Roman"/>
                <w:bCs w:val="0"/>
                <w:sz w:val="22"/>
                <w:szCs w:val="22"/>
                <w:lang w:val="en-GB" w:eastAsia="ru-RU"/>
              </w:rPr>
            </w:pPr>
            <w:r>
              <w:rPr>
                <w:rFonts w:eastAsia="Times New Roman"/>
                <w:bCs w:val="0"/>
                <w:sz w:val="22"/>
                <w:szCs w:val="22"/>
                <w:lang w:val="en-GB" w:eastAsia="ru-RU"/>
              </w:rPr>
              <w:t>1</w:t>
            </w:r>
            <w:r w:rsidRPr="00FC3C1A">
              <w:rPr>
                <w:rFonts w:eastAsia="Times New Roman"/>
                <w:bCs w:val="0"/>
                <w:sz w:val="22"/>
                <w:szCs w:val="22"/>
                <w:vertAlign w:val="superscript"/>
                <w:lang w:val="en-GB" w:eastAsia="ru-RU"/>
              </w:rPr>
              <w:t>st</w:t>
            </w:r>
          </w:p>
        </w:tc>
        <w:tc>
          <w:tcPr>
            <w:tcW w:w="992" w:type="dxa"/>
            <w:gridSpan w:val="2"/>
            <w:vAlign w:val="center"/>
          </w:tcPr>
          <w:p w:rsidR="00FA63A3" w:rsidRPr="003513D4" w:rsidRDefault="00FA63A3" w:rsidP="00471344">
            <w:pPr>
              <w:jc w:val="center"/>
              <w:rPr>
                <w:rFonts w:eastAsia="Times New Roman"/>
                <w:bCs w:val="0"/>
                <w:sz w:val="22"/>
                <w:szCs w:val="22"/>
                <w:lang w:val="en-GB" w:eastAsia="ru-RU"/>
              </w:rPr>
            </w:pPr>
            <w:r w:rsidRPr="003513D4">
              <w:rPr>
                <w:rFonts w:eastAsia="Times New Roman"/>
                <w:bCs w:val="0"/>
                <w:sz w:val="22"/>
                <w:szCs w:val="22"/>
                <w:lang w:val="en-GB" w:eastAsia="ru-RU"/>
              </w:rPr>
              <w:t>30</w:t>
            </w:r>
          </w:p>
        </w:tc>
        <w:tc>
          <w:tcPr>
            <w:tcW w:w="1276" w:type="dxa"/>
          </w:tcPr>
          <w:p w:rsidR="00FA63A3" w:rsidRPr="003513D4" w:rsidRDefault="00FA63A3" w:rsidP="00D44D21">
            <w:pPr>
              <w:rPr>
                <w:rFonts w:eastAsia="Times New Roman"/>
                <w:bCs w:val="0"/>
                <w:sz w:val="22"/>
                <w:szCs w:val="22"/>
                <w:lang w:val="en-GB" w:eastAsia="ru-RU"/>
              </w:rPr>
            </w:pPr>
            <w:r w:rsidRPr="003513D4">
              <w:rPr>
                <w:rFonts w:eastAsia="Times New Roman"/>
                <w:bCs w:val="0"/>
                <w:sz w:val="22"/>
                <w:szCs w:val="22"/>
                <w:lang w:val="en-GB" w:eastAsia="ru-RU"/>
              </w:rPr>
              <w:t>0</w:t>
            </w:r>
          </w:p>
        </w:tc>
        <w:tc>
          <w:tcPr>
            <w:tcW w:w="1701" w:type="dxa"/>
          </w:tcPr>
          <w:p w:rsidR="00FA63A3" w:rsidRPr="003513D4" w:rsidRDefault="00FA63A3" w:rsidP="00D44D21">
            <w:pPr>
              <w:rPr>
                <w:rFonts w:eastAsia="Times New Roman"/>
                <w:bCs w:val="0"/>
                <w:sz w:val="22"/>
                <w:szCs w:val="22"/>
                <w:lang w:val="en-GB" w:eastAsia="ru-RU"/>
              </w:rPr>
            </w:pPr>
            <w:r w:rsidRPr="003513D4">
              <w:rPr>
                <w:rFonts w:eastAsia="Times New Roman"/>
                <w:bCs w:val="0"/>
                <w:sz w:val="22"/>
                <w:szCs w:val="22"/>
                <w:lang w:val="en-GB" w:eastAsia="ru-RU"/>
              </w:rPr>
              <w:t>0</w:t>
            </w:r>
          </w:p>
        </w:tc>
        <w:tc>
          <w:tcPr>
            <w:tcW w:w="4394" w:type="dxa"/>
          </w:tcPr>
          <w:p w:rsidR="00FA63A3" w:rsidRPr="003513D4" w:rsidRDefault="00FA63A3" w:rsidP="005B24AE">
            <w:pPr>
              <w:jc w:val="both"/>
              <w:rPr>
                <w:b w:val="0"/>
                <w:bCs w:val="0"/>
                <w:sz w:val="16"/>
                <w:szCs w:val="16"/>
                <w:lang w:val="en-GB"/>
              </w:rPr>
            </w:pPr>
          </w:p>
        </w:tc>
        <w:tc>
          <w:tcPr>
            <w:tcW w:w="1916" w:type="dxa"/>
            <w:vAlign w:val="center"/>
          </w:tcPr>
          <w:p w:rsidR="00FA63A3" w:rsidRPr="003513D4" w:rsidRDefault="00FA63A3" w:rsidP="00D44D21">
            <w:pPr>
              <w:rPr>
                <w:b w:val="0"/>
                <w:bCs w:val="0"/>
                <w:sz w:val="22"/>
                <w:szCs w:val="22"/>
                <w:lang w:val="en-GB"/>
              </w:rPr>
            </w:pPr>
          </w:p>
        </w:tc>
      </w:tr>
      <w:tr w:rsidR="00FA63A3" w:rsidRPr="00BB13FF" w:rsidTr="00DA5AA0">
        <w:trPr>
          <w:trHeight w:val="74"/>
        </w:trPr>
        <w:tc>
          <w:tcPr>
            <w:tcW w:w="2877" w:type="dxa"/>
            <w:vAlign w:val="center"/>
          </w:tcPr>
          <w:p w:rsidR="00FA63A3" w:rsidRPr="003513D4" w:rsidRDefault="00FA63A3" w:rsidP="00DA5AA0">
            <w:pPr>
              <w:pStyle w:val="ListParagraph"/>
              <w:numPr>
                <w:ilvl w:val="0"/>
                <w:numId w:val="2"/>
              </w:numPr>
              <w:spacing w:after="100" w:afterAutospacing="1" w:line="240" w:lineRule="auto"/>
              <w:ind w:left="425" w:hanging="357"/>
              <w:rPr>
                <w:rFonts w:ascii="Times New Roman" w:hAnsi="Times New Roman" w:cs="Times New Roman"/>
                <w:lang w:val="en-US"/>
              </w:rPr>
            </w:pPr>
            <w:r w:rsidRPr="003513D4">
              <w:rPr>
                <w:rFonts w:ascii="Times New Roman" w:hAnsi="Times New Roman" w:cs="Times New Roman"/>
                <w:lang w:val="en-US"/>
              </w:rPr>
              <w:t xml:space="preserve">Energy resources </w:t>
            </w:r>
          </w:p>
          <w:p w:rsidR="00FA63A3" w:rsidRPr="003513D4" w:rsidRDefault="00FA63A3" w:rsidP="00DA5AA0">
            <w:pPr>
              <w:pStyle w:val="ListParagraph"/>
              <w:spacing w:after="100" w:afterAutospacing="1" w:line="240" w:lineRule="auto"/>
              <w:ind w:left="425"/>
              <w:rPr>
                <w:rFonts w:ascii="Times New Roman" w:eastAsia="Times New Roman" w:hAnsi="Times New Roman" w:cs="Times New Roman"/>
                <w:lang w:val="en-GB" w:eastAsia="ru-RU"/>
              </w:rPr>
            </w:pPr>
          </w:p>
        </w:tc>
        <w:tc>
          <w:tcPr>
            <w:tcW w:w="633" w:type="dxa"/>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00471344" w:rsidRPr="003513D4">
              <w:rPr>
                <w:rFonts w:eastAsia="Times New Roman"/>
                <w:b w:val="0"/>
                <w:bCs w:val="0"/>
                <w:sz w:val="22"/>
                <w:szCs w:val="22"/>
                <w:vertAlign w:val="superscript"/>
                <w:lang w:val="en-GB" w:eastAsia="ru-RU"/>
              </w:rPr>
              <w:t>nd</w:t>
            </w:r>
          </w:p>
        </w:tc>
        <w:tc>
          <w:tcPr>
            <w:tcW w:w="992" w:type="dxa"/>
            <w:gridSpan w:val="2"/>
            <w:vAlign w:val="center"/>
          </w:tcPr>
          <w:p w:rsidR="00FA63A3" w:rsidRPr="003513D4" w:rsidRDefault="00FA63A3" w:rsidP="00471344">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3</w:t>
            </w:r>
          </w:p>
        </w:tc>
        <w:tc>
          <w:tcPr>
            <w:tcW w:w="1276" w:type="dxa"/>
            <w:vAlign w:val="center"/>
          </w:tcPr>
          <w:p w:rsidR="00FA63A3" w:rsidRPr="003513D4" w:rsidRDefault="00FA63A3" w:rsidP="00471344">
            <w:pPr>
              <w:jc w:val="center"/>
              <w:rPr>
                <w:rFonts w:eastAsia="Times New Roman"/>
                <w:b w:val="0"/>
                <w:bCs w:val="0"/>
                <w:sz w:val="18"/>
                <w:szCs w:val="18"/>
                <w:lang w:val="en-GB" w:eastAsia="ru-RU"/>
              </w:rPr>
            </w:pPr>
          </w:p>
        </w:tc>
        <w:tc>
          <w:tcPr>
            <w:tcW w:w="1701" w:type="dxa"/>
          </w:tcPr>
          <w:p w:rsidR="00FA63A3" w:rsidRPr="003513D4" w:rsidRDefault="00FA63A3" w:rsidP="00471344">
            <w:pPr>
              <w:ind w:left="34"/>
              <w:jc w:val="both"/>
              <w:rPr>
                <w:rFonts w:eastAsia="Times New Roman"/>
                <w:b w:val="0"/>
                <w:bCs w:val="0"/>
                <w:lang w:val="en-GB" w:eastAsia="ru-RU"/>
              </w:rPr>
            </w:pPr>
          </w:p>
        </w:tc>
        <w:tc>
          <w:tcPr>
            <w:tcW w:w="4394" w:type="dxa"/>
          </w:tcPr>
          <w:p w:rsidR="00FA63A3" w:rsidRPr="003513D4" w:rsidRDefault="005B24AE" w:rsidP="00154E04">
            <w:pPr>
              <w:jc w:val="both"/>
              <w:rPr>
                <w:b w:val="0"/>
                <w:bCs w:val="0"/>
                <w:sz w:val="16"/>
                <w:szCs w:val="16"/>
                <w:lang w:val="en-US"/>
              </w:rPr>
            </w:pPr>
            <w:r w:rsidRPr="003513D4">
              <w:rPr>
                <w:rFonts w:cstheme="minorHAnsi"/>
                <w:b w:val="0"/>
                <w:color w:val="000000"/>
                <w:sz w:val="16"/>
                <w:szCs w:val="16"/>
                <w:shd w:val="clear" w:color="auto" w:fill="F0F0F0"/>
                <w:lang w:val="en-US"/>
              </w:rPr>
              <w:t xml:space="preserve">The topics covered by this chair include: Energy: production, transformation, transport and storage; fossil fuel power plants (gas, coal, oil); renewable energy resources (hydroelectric power plants, wind farms, photovoltaic and high-temperature solar power plants); current technologies for renewable energy production; nuclear power; </w:t>
            </w:r>
            <w:r w:rsidRPr="003513D4">
              <w:rPr>
                <w:rFonts w:cstheme="minorHAnsi"/>
                <w:b w:val="0"/>
                <w:color w:val="000000"/>
                <w:sz w:val="16"/>
                <w:szCs w:val="16"/>
                <w:shd w:val="clear" w:color="auto" w:fill="F0F0F0"/>
                <w:lang w:val="en-US"/>
              </w:rPr>
              <w:lastRenderedPageBreak/>
              <w:t xml:space="preserve">and future developments in power </w:t>
            </w:r>
            <w:proofErr w:type="spellStart"/>
            <w:r w:rsidRPr="003513D4">
              <w:rPr>
                <w:rFonts w:cstheme="minorHAnsi"/>
                <w:b w:val="0"/>
                <w:color w:val="000000"/>
                <w:sz w:val="16"/>
                <w:szCs w:val="16"/>
                <w:shd w:val="clear" w:color="auto" w:fill="F0F0F0"/>
                <w:lang w:val="en-US"/>
              </w:rPr>
              <w:t>resourcers</w:t>
            </w:r>
            <w:proofErr w:type="spellEnd"/>
            <w:r w:rsidRPr="003513D4">
              <w:rPr>
                <w:rFonts w:cstheme="minorHAnsi"/>
                <w:b w:val="0"/>
                <w:color w:val="000000"/>
                <w:sz w:val="16"/>
                <w:szCs w:val="16"/>
                <w:shd w:val="clear" w:color="auto" w:fill="F0F0F0"/>
                <w:lang w:val="en-US"/>
              </w:rPr>
              <w:t xml:space="preserve"> (</w:t>
            </w:r>
            <w:proofErr w:type="spellStart"/>
            <w:r w:rsidRPr="003513D4">
              <w:rPr>
                <w:rFonts w:cstheme="minorHAnsi"/>
                <w:b w:val="0"/>
                <w:color w:val="000000"/>
                <w:sz w:val="16"/>
                <w:szCs w:val="16"/>
                <w:shd w:val="clear" w:color="auto" w:fill="F0F0F0"/>
                <w:lang w:val="en-US"/>
              </w:rPr>
              <w:t>hidrogen</w:t>
            </w:r>
            <w:proofErr w:type="spellEnd"/>
            <w:r w:rsidRPr="003513D4">
              <w:rPr>
                <w:rFonts w:cstheme="minorHAnsi"/>
                <w:b w:val="0"/>
                <w:color w:val="000000"/>
                <w:sz w:val="16"/>
                <w:szCs w:val="16"/>
                <w:shd w:val="clear" w:color="auto" w:fill="F0F0F0"/>
                <w:lang w:val="en-US"/>
              </w:rPr>
              <w:t xml:space="preserve"> and fuel cells, batteries, new perspectives in fossil fuels, </w:t>
            </w:r>
            <w:proofErr w:type="spellStart"/>
            <w:r w:rsidRPr="003513D4">
              <w:rPr>
                <w:rFonts w:cstheme="minorHAnsi"/>
                <w:b w:val="0"/>
                <w:color w:val="000000"/>
                <w:sz w:val="16"/>
                <w:szCs w:val="16"/>
                <w:shd w:val="clear" w:color="auto" w:fill="F0F0F0"/>
                <w:lang w:val="en-US"/>
              </w:rPr>
              <w:t>ultracapacitors</w:t>
            </w:r>
            <w:proofErr w:type="spellEnd"/>
            <w:r w:rsidRPr="003513D4">
              <w:rPr>
                <w:rFonts w:cstheme="minorHAnsi"/>
                <w:b w:val="0"/>
                <w:color w:val="000000"/>
                <w:sz w:val="16"/>
                <w:szCs w:val="16"/>
                <w:shd w:val="clear" w:color="auto" w:fill="F0F0F0"/>
                <w:lang w:val="en-US"/>
              </w:rPr>
              <w:t>, and satellites for solar power production).</w:t>
            </w:r>
          </w:p>
        </w:tc>
        <w:tc>
          <w:tcPr>
            <w:tcW w:w="1916" w:type="dxa"/>
            <w:vAlign w:val="center"/>
          </w:tcPr>
          <w:p w:rsidR="00FA63A3" w:rsidRPr="003513D4" w:rsidRDefault="00FA63A3" w:rsidP="00D44D21">
            <w:pPr>
              <w:rPr>
                <w:b w:val="0"/>
                <w:bCs w:val="0"/>
                <w:sz w:val="18"/>
                <w:szCs w:val="18"/>
                <w:lang w:val="en-GB"/>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2"/>
              </w:numPr>
              <w:spacing w:after="100" w:afterAutospacing="1" w:line="240" w:lineRule="auto"/>
              <w:ind w:left="425" w:hanging="357"/>
              <w:rPr>
                <w:rFonts w:ascii="Times New Roman" w:hAnsi="Times New Roman" w:cs="Times New Roman"/>
                <w:lang w:val="en-US"/>
              </w:rPr>
            </w:pPr>
            <w:r w:rsidRPr="003513D4">
              <w:rPr>
                <w:rFonts w:ascii="Times New Roman" w:hAnsi="Times New Roman" w:cs="Times New Roman"/>
                <w:lang w:val="en-US"/>
              </w:rPr>
              <w:lastRenderedPageBreak/>
              <w:t>Waste</w:t>
            </w:r>
            <w:r w:rsidR="005B24AE" w:rsidRPr="003513D4">
              <w:rPr>
                <w:rFonts w:ascii="Times New Roman" w:hAnsi="Times New Roman" w:cs="Times New Roman"/>
                <w:lang w:val="en-US"/>
              </w:rPr>
              <w:t xml:space="preserve"> management</w:t>
            </w:r>
          </w:p>
        </w:tc>
        <w:tc>
          <w:tcPr>
            <w:tcW w:w="633" w:type="dxa"/>
            <w:vAlign w:val="center"/>
          </w:tcPr>
          <w:p w:rsidR="00471344" w:rsidRPr="003513D4" w:rsidRDefault="00471344"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471344" w:rsidRPr="003513D4" w:rsidRDefault="00471344" w:rsidP="00471344">
            <w:pPr>
              <w:jc w:val="center"/>
              <w:rPr>
                <w:rFonts w:eastAsia="Times New Roman"/>
                <w:b w:val="0"/>
                <w:bCs w:val="0"/>
                <w:lang w:val="en-GB" w:eastAsia="ru-RU"/>
              </w:rPr>
            </w:pPr>
            <w:r w:rsidRPr="003513D4">
              <w:rPr>
                <w:rFonts w:eastAsia="Times New Roman"/>
                <w:b w:val="0"/>
                <w:bCs w:val="0"/>
                <w:lang w:val="en-GB" w:eastAsia="ru-RU"/>
              </w:rPr>
              <w:t>3</w:t>
            </w:r>
          </w:p>
        </w:tc>
        <w:tc>
          <w:tcPr>
            <w:tcW w:w="1276" w:type="dxa"/>
          </w:tcPr>
          <w:p w:rsidR="00471344" w:rsidRPr="003513D4" w:rsidRDefault="00471344" w:rsidP="00D44D21">
            <w:pPr>
              <w:rPr>
                <w:rFonts w:eastAsia="Times New Roman"/>
                <w:b w:val="0"/>
                <w:bCs w:val="0"/>
                <w:sz w:val="18"/>
                <w:szCs w:val="18"/>
                <w:lang w:val="en-GB" w:eastAsia="ru-RU"/>
              </w:rPr>
            </w:pPr>
          </w:p>
        </w:tc>
        <w:tc>
          <w:tcPr>
            <w:tcW w:w="1701" w:type="dxa"/>
          </w:tcPr>
          <w:p w:rsidR="00471344" w:rsidRPr="003513D4" w:rsidRDefault="00471344" w:rsidP="00471344">
            <w:pPr>
              <w:ind w:left="34"/>
              <w:jc w:val="both"/>
              <w:rPr>
                <w:b w:val="0"/>
                <w:lang w:val="en-US"/>
              </w:rPr>
            </w:pPr>
          </w:p>
        </w:tc>
        <w:tc>
          <w:tcPr>
            <w:tcW w:w="4394" w:type="dxa"/>
          </w:tcPr>
          <w:p w:rsidR="00471344" w:rsidRPr="003513D4" w:rsidRDefault="005B24AE" w:rsidP="00154E04">
            <w:pPr>
              <w:jc w:val="both"/>
              <w:rPr>
                <w:b w:val="0"/>
                <w:bCs w:val="0"/>
                <w:sz w:val="16"/>
                <w:szCs w:val="16"/>
                <w:lang w:val="en-US"/>
              </w:rPr>
            </w:pPr>
            <w:r w:rsidRPr="003513D4">
              <w:rPr>
                <w:rFonts w:cstheme="minorHAnsi"/>
                <w:b w:val="0"/>
                <w:color w:val="000000"/>
                <w:sz w:val="16"/>
                <w:szCs w:val="16"/>
                <w:lang w:val="en-US"/>
              </w:rPr>
              <w:t>This chair includes all aspects of wastes resulting from human activities. The definition and types of wastes, their environmental impact and current regulations that focus on waste management are introduced. Strategies for waste minimization, pollution prevention and good industrial practices are defined, and practical examples are discussed. Urban waste collection and different alternatives for waste treatment are analyzed, including recycling, organic waste composting, thermal treatments to produce energy, and anaerobic digestion to produce methane. The final part of the chair is focused on treatment of industrial wastes and design and regulations involving waste dump sites.</w:t>
            </w:r>
          </w:p>
        </w:tc>
        <w:tc>
          <w:tcPr>
            <w:tcW w:w="1916" w:type="dxa"/>
            <w:vAlign w:val="center"/>
          </w:tcPr>
          <w:p w:rsidR="00471344" w:rsidRPr="003513D4" w:rsidRDefault="00471344" w:rsidP="00D44D21">
            <w:pPr>
              <w:rPr>
                <w:b w:val="0"/>
                <w:bCs w:val="0"/>
                <w:sz w:val="18"/>
                <w:szCs w:val="18"/>
                <w:lang w:val="en-GB"/>
              </w:rPr>
            </w:pPr>
          </w:p>
        </w:tc>
      </w:tr>
      <w:tr w:rsidR="00471344" w:rsidRPr="00BB13FF" w:rsidTr="00DA5AA0">
        <w:trPr>
          <w:trHeight w:val="74"/>
        </w:trPr>
        <w:tc>
          <w:tcPr>
            <w:tcW w:w="2877" w:type="dxa"/>
            <w:vAlign w:val="center"/>
          </w:tcPr>
          <w:p w:rsidR="00471344" w:rsidRPr="003513D4" w:rsidRDefault="00471344" w:rsidP="00DA5AA0">
            <w:pPr>
              <w:pStyle w:val="ListParagraph"/>
              <w:numPr>
                <w:ilvl w:val="0"/>
                <w:numId w:val="2"/>
              </w:numPr>
              <w:spacing w:after="100" w:afterAutospacing="1" w:line="240" w:lineRule="auto"/>
              <w:ind w:left="425" w:hanging="357"/>
              <w:rPr>
                <w:rFonts w:ascii="Times New Roman" w:hAnsi="Times New Roman" w:cs="Times New Roman"/>
                <w:lang w:val="en-US"/>
              </w:rPr>
            </w:pPr>
            <w:r w:rsidRPr="003513D4">
              <w:rPr>
                <w:rFonts w:ascii="Times New Roman" w:eastAsia="Times New Roman" w:hAnsi="Times New Roman" w:cs="Times New Roman"/>
                <w:lang w:val="en-GB" w:eastAsia="ru-RU"/>
              </w:rPr>
              <w:t>Masters Degree Project</w:t>
            </w:r>
          </w:p>
        </w:tc>
        <w:tc>
          <w:tcPr>
            <w:tcW w:w="633" w:type="dxa"/>
            <w:vAlign w:val="center"/>
          </w:tcPr>
          <w:p w:rsidR="00471344" w:rsidRPr="003513D4" w:rsidRDefault="00471344"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471344" w:rsidRPr="003513D4" w:rsidRDefault="00471344" w:rsidP="00D44D21">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471344" w:rsidRPr="003513D4" w:rsidRDefault="00471344" w:rsidP="00471344">
            <w:pPr>
              <w:jc w:val="center"/>
              <w:rPr>
                <w:rFonts w:eastAsia="Times New Roman"/>
                <w:b w:val="0"/>
                <w:bCs w:val="0"/>
                <w:lang w:val="en-GB" w:eastAsia="ru-RU"/>
              </w:rPr>
            </w:pPr>
            <w:r w:rsidRPr="003513D4">
              <w:rPr>
                <w:rFonts w:eastAsia="Times New Roman"/>
                <w:b w:val="0"/>
                <w:bCs w:val="0"/>
                <w:lang w:val="en-GB" w:eastAsia="ru-RU"/>
              </w:rPr>
              <w:t>18</w:t>
            </w:r>
          </w:p>
        </w:tc>
        <w:tc>
          <w:tcPr>
            <w:tcW w:w="1276" w:type="dxa"/>
          </w:tcPr>
          <w:p w:rsidR="00471344" w:rsidRPr="003513D4" w:rsidRDefault="00471344" w:rsidP="00D44D21">
            <w:pPr>
              <w:rPr>
                <w:rFonts w:eastAsia="Times New Roman"/>
                <w:b w:val="0"/>
                <w:bCs w:val="0"/>
                <w:sz w:val="18"/>
                <w:szCs w:val="18"/>
                <w:lang w:val="en-GB" w:eastAsia="ru-RU"/>
              </w:rPr>
            </w:pPr>
          </w:p>
        </w:tc>
        <w:tc>
          <w:tcPr>
            <w:tcW w:w="1701" w:type="dxa"/>
          </w:tcPr>
          <w:p w:rsidR="00471344" w:rsidRPr="003513D4" w:rsidRDefault="00471344" w:rsidP="00471344">
            <w:pPr>
              <w:ind w:left="34"/>
              <w:jc w:val="both"/>
              <w:rPr>
                <w:b w:val="0"/>
                <w:lang w:val="en-US"/>
              </w:rPr>
            </w:pPr>
          </w:p>
        </w:tc>
        <w:tc>
          <w:tcPr>
            <w:tcW w:w="4394" w:type="dxa"/>
          </w:tcPr>
          <w:p w:rsidR="00471344" w:rsidRPr="003513D4" w:rsidRDefault="005B24AE" w:rsidP="00D82745">
            <w:pPr>
              <w:jc w:val="both"/>
              <w:rPr>
                <w:b w:val="0"/>
                <w:bCs w:val="0"/>
                <w:sz w:val="16"/>
                <w:szCs w:val="16"/>
                <w:lang w:val="en-GB"/>
              </w:rPr>
            </w:pPr>
            <w:r w:rsidRPr="003513D4">
              <w:rPr>
                <w:b w:val="0"/>
                <w:bCs w:val="0"/>
                <w:sz w:val="16"/>
                <w:szCs w:val="16"/>
                <w:lang w:val="en-GB"/>
              </w:rPr>
              <w:t xml:space="preserve">A final research project that the student </w:t>
            </w:r>
            <w:r w:rsidR="00D82745">
              <w:rPr>
                <w:b w:val="0"/>
                <w:bCs w:val="0"/>
                <w:sz w:val="16"/>
                <w:szCs w:val="16"/>
                <w:lang w:val="en-GB"/>
              </w:rPr>
              <w:t>needs</w:t>
            </w:r>
            <w:r w:rsidRPr="003513D4">
              <w:rPr>
                <w:b w:val="0"/>
                <w:bCs w:val="0"/>
                <w:sz w:val="16"/>
                <w:szCs w:val="16"/>
                <w:lang w:val="en-GB"/>
              </w:rPr>
              <w:t xml:space="preserve"> to develop and present in front of a panel</w:t>
            </w:r>
          </w:p>
        </w:tc>
        <w:tc>
          <w:tcPr>
            <w:tcW w:w="1916" w:type="dxa"/>
            <w:vAlign w:val="center"/>
          </w:tcPr>
          <w:p w:rsidR="00471344" w:rsidRPr="003513D4" w:rsidRDefault="00471344" w:rsidP="00D44D21">
            <w:pPr>
              <w:rPr>
                <w:b w:val="0"/>
                <w:bCs w:val="0"/>
                <w:sz w:val="18"/>
                <w:szCs w:val="18"/>
                <w:lang w:val="en-GB"/>
              </w:rPr>
            </w:pPr>
          </w:p>
        </w:tc>
      </w:tr>
      <w:tr w:rsidR="00FC3C1A" w:rsidRPr="00BB13FF" w:rsidTr="00DA5AA0">
        <w:trPr>
          <w:trHeight w:val="74"/>
        </w:trPr>
        <w:tc>
          <w:tcPr>
            <w:tcW w:w="2877" w:type="dxa"/>
            <w:vAlign w:val="center"/>
          </w:tcPr>
          <w:p w:rsidR="00FC3C1A" w:rsidRPr="003513D4" w:rsidRDefault="00FC3C1A" w:rsidP="00DA5AA0">
            <w:pPr>
              <w:pStyle w:val="ListParagraph"/>
              <w:numPr>
                <w:ilvl w:val="0"/>
                <w:numId w:val="2"/>
              </w:numPr>
              <w:spacing w:after="100" w:afterAutospacing="1" w:line="240" w:lineRule="auto"/>
              <w:ind w:left="425" w:hanging="357"/>
              <w:rPr>
                <w:rFonts w:ascii="Times New Roman" w:eastAsia="Times New Roman" w:hAnsi="Times New Roman" w:cs="Times New Roman"/>
                <w:lang w:val="en-GB" w:eastAsia="ru-RU"/>
              </w:rPr>
            </w:pPr>
            <w:bookmarkStart w:id="0" w:name="_GoBack" w:colFirst="5" w:colLast="5"/>
          </w:p>
        </w:tc>
        <w:tc>
          <w:tcPr>
            <w:tcW w:w="633" w:type="dxa"/>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FC3C1A" w:rsidRPr="003513D4" w:rsidRDefault="00FC3C1A" w:rsidP="00471344">
            <w:pPr>
              <w:jc w:val="center"/>
              <w:rPr>
                <w:rFonts w:eastAsia="Times New Roman"/>
                <w:b w:val="0"/>
                <w:bCs w:val="0"/>
                <w:lang w:val="en-GB" w:eastAsia="ru-RU"/>
              </w:rPr>
            </w:pPr>
            <w:r>
              <w:rPr>
                <w:rFonts w:eastAsia="Times New Roman"/>
                <w:b w:val="0"/>
                <w:bCs w:val="0"/>
                <w:lang w:val="en-GB" w:eastAsia="ru-RU"/>
              </w:rPr>
              <w:t>3</w:t>
            </w:r>
          </w:p>
        </w:tc>
        <w:tc>
          <w:tcPr>
            <w:tcW w:w="1276" w:type="dxa"/>
          </w:tcPr>
          <w:p w:rsidR="00FC3C1A" w:rsidRPr="003513D4" w:rsidRDefault="00FC3C1A" w:rsidP="00D44D21">
            <w:pPr>
              <w:rPr>
                <w:rFonts w:eastAsia="Times New Roman"/>
                <w:b w:val="0"/>
                <w:bCs w:val="0"/>
                <w:sz w:val="18"/>
                <w:szCs w:val="18"/>
                <w:lang w:val="en-GB" w:eastAsia="ru-RU"/>
              </w:rPr>
            </w:pPr>
          </w:p>
        </w:tc>
        <w:tc>
          <w:tcPr>
            <w:tcW w:w="1701" w:type="dxa"/>
            <w:vAlign w:val="center"/>
          </w:tcPr>
          <w:p w:rsidR="00FC3C1A" w:rsidRPr="003513D4" w:rsidRDefault="00FC3C1A" w:rsidP="00DA5AA0">
            <w:pPr>
              <w:ind w:left="34"/>
              <w:rPr>
                <w:b w:val="0"/>
                <w:lang w:val="en-US"/>
              </w:rPr>
            </w:pPr>
            <w:r w:rsidRPr="003513D4">
              <w:rPr>
                <w:b w:val="0"/>
                <w:lang w:val="en-US"/>
              </w:rPr>
              <w:t>Quality management</w:t>
            </w:r>
          </w:p>
          <w:p w:rsidR="00FC3C1A" w:rsidRPr="003513D4" w:rsidRDefault="00FC3C1A" w:rsidP="00DA5AA0">
            <w:pPr>
              <w:ind w:left="34"/>
              <w:rPr>
                <w:b w:val="0"/>
                <w:lang w:val="en-US"/>
              </w:rPr>
            </w:pPr>
          </w:p>
        </w:tc>
        <w:tc>
          <w:tcPr>
            <w:tcW w:w="4394" w:type="dxa"/>
          </w:tcPr>
          <w:p w:rsidR="00FC3C1A" w:rsidRPr="003513D4" w:rsidRDefault="00FC3C1A" w:rsidP="00154E04">
            <w:pPr>
              <w:jc w:val="both"/>
              <w:rPr>
                <w:b w:val="0"/>
                <w:bCs w:val="0"/>
                <w:sz w:val="16"/>
                <w:szCs w:val="16"/>
                <w:lang w:val="en-US"/>
              </w:rPr>
            </w:pPr>
            <w:r w:rsidRPr="003513D4">
              <w:rPr>
                <w:rFonts w:cstheme="minorHAnsi"/>
                <w:b w:val="0"/>
                <w:color w:val="000000"/>
                <w:sz w:val="16"/>
                <w:szCs w:val="16"/>
                <w:shd w:val="clear" w:color="auto" w:fill="F0F0F0"/>
                <w:lang w:val="en-US"/>
              </w:rPr>
              <w:t>The aim of this chair is to provide a general view of Environmental and Quality Management in private companies. This includes the definition of quality, the effect of quality management systems in the society, and the different models of management (</w:t>
            </w:r>
            <w:r w:rsidRPr="003513D4">
              <w:rPr>
                <w:rFonts w:eastAsia="Times New Roman" w:cstheme="minorHAnsi"/>
                <w:b w:val="0"/>
                <w:color w:val="000000"/>
                <w:sz w:val="16"/>
                <w:szCs w:val="16"/>
                <w:lang w:val="en-US" w:eastAsia="es-ES"/>
              </w:rPr>
              <w:t>ISO 9000, ISO 17025, ISO 14000, EFQM), and common problems related to quality management in a private company (work organizing, participation and motivation of employees). Finally, the integration of environmental, security and protection systems (</w:t>
            </w:r>
            <w:proofErr w:type="spellStart"/>
            <w:r w:rsidRPr="003513D4">
              <w:rPr>
                <w:rFonts w:eastAsia="Times New Roman" w:cstheme="minorHAnsi"/>
                <w:b w:val="0"/>
                <w:color w:val="000000"/>
                <w:sz w:val="16"/>
                <w:szCs w:val="16"/>
                <w:lang w:val="en-US" w:eastAsia="es-ES"/>
              </w:rPr>
              <w:t>Oshas</w:t>
            </w:r>
            <w:proofErr w:type="spellEnd"/>
            <w:r w:rsidRPr="003513D4">
              <w:rPr>
                <w:rFonts w:eastAsia="Times New Roman" w:cstheme="minorHAnsi"/>
                <w:b w:val="0"/>
                <w:color w:val="000000"/>
                <w:sz w:val="16"/>
                <w:szCs w:val="16"/>
                <w:lang w:val="en-US" w:eastAsia="es-ES"/>
              </w:rPr>
              <w:t xml:space="preserve"> 18000) is discussed.</w:t>
            </w:r>
          </w:p>
        </w:tc>
        <w:tc>
          <w:tcPr>
            <w:tcW w:w="1916" w:type="dxa"/>
            <w:vAlign w:val="center"/>
          </w:tcPr>
          <w:p w:rsidR="00FC3C1A" w:rsidRPr="003513D4" w:rsidRDefault="00FC3C1A" w:rsidP="00D44D21">
            <w:pPr>
              <w:rPr>
                <w:b w:val="0"/>
                <w:bCs w:val="0"/>
                <w:sz w:val="18"/>
                <w:szCs w:val="18"/>
                <w:lang w:val="en-GB"/>
              </w:rPr>
            </w:pPr>
          </w:p>
        </w:tc>
      </w:tr>
      <w:tr w:rsidR="00FC3C1A" w:rsidRPr="00BB13FF" w:rsidTr="00DA5AA0">
        <w:trPr>
          <w:trHeight w:val="74"/>
        </w:trPr>
        <w:tc>
          <w:tcPr>
            <w:tcW w:w="2877" w:type="dxa"/>
          </w:tcPr>
          <w:p w:rsidR="00FC3C1A" w:rsidRPr="003513D4" w:rsidRDefault="00FC3C1A" w:rsidP="00D44D21">
            <w:pPr>
              <w:pStyle w:val="ListParagraph"/>
              <w:numPr>
                <w:ilvl w:val="0"/>
                <w:numId w:val="2"/>
              </w:numPr>
              <w:spacing w:after="100" w:afterAutospacing="1" w:line="240" w:lineRule="auto"/>
              <w:ind w:left="425" w:hanging="357"/>
              <w:jc w:val="both"/>
              <w:rPr>
                <w:rFonts w:ascii="Times New Roman" w:eastAsia="Times New Roman" w:hAnsi="Times New Roman" w:cs="Times New Roman"/>
                <w:lang w:val="en-GB" w:eastAsia="ru-RU"/>
              </w:rPr>
            </w:pPr>
          </w:p>
        </w:tc>
        <w:tc>
          <w:tcPr>
            <w:tcW w:w="633" w:type="dxa"/>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FC3C1A" w:rsidRPr="003513D4" w:rsidRDefault="00FC3C1A" w:rsidP="00471344">
            <w:pPr>
              <w:jc w:val="center"/>
              <w:rPr>
                <w:rFonts w:eastAsia="Times New Roman"/>
                <w:b w:val="0"/>
                <w:bCs w:val="0"/>
                <w:lang w:val="en-GB" w:eastAsia="ru-RU"/>
              </w:rPr>
            </w:pPr>
            <w:r>
              <w:rPr>
                <w:rFonts w:eastAsia="Times New Roman"/>
                <w:b w:val="0"/>
                <w:bCs w:val="0"/>
                <w:lang w:val="en-GB" w:eastAsia="ru-RU"/>
              </w:rPr>
              <w:t>3</w:t>
            </w:r>
          </w:p>
        </w:tc>
        <w:tc>
          <w:tcPr>
            <w:tcW w:w="1276" w:type="dxa"/>
          </w:tcPr>
          <w:p w:rsidR="00FC3C1A" w:rsidRPr="003513D4" w:rsidRDefault="00FC3C1A" w:rsidP="00D44D21">
            <w:pPr>
              <w:rPr>
                <w:rFonts w:eastAsia="Times New Roman"/>
                <w:b w:val="0"/>
                <w:bCs w:val="0"/>
                <w:sz w:val="18"/>
                <w:szCs w:val="18"/>
                <w:lang w:val="en-GB" w:eastAsia="ru-RU"/>
              </w:rPr>
            </w:pPr>
          </w:p>
        </w:tc>
        <w:tc>
          <w:tcPr>
            <w:tcW w:w="1701" w:type="dxa"/>
            <w:vAlign w:val="center"/>
          </w:tcPr>
          <w:p w:rsidR="00FC3C1A" w:rsidRPr="003513D4" w:rsidRDefault="00FC3C1A" w:rsidP="00DA5AA0">
            <w:pPr>
              <w:ind w:left="34"/>
              <w:rPr>
                <w:b w:val="0"/>
                <w:lang w:val="en-US"/>
              </w:rPr>
            </w:pPr>
            <w:r w:rsidRPr="003513D4">
              <w:rPr>
                <w:b w:val="0"/>
                <w:lang w:val="en-US"/>
              </w:rPr>
              <w:t>Environmental economy</w:t>
            </w:r>
          </w:p>
          <w:p w:rsidR="00FC3C1A" w:rsidRPr="003513D4" w:rsidRDefault="00FC3C1A" w:rsidP="00DA5AA0">
            <w:pPr>
              <w:ind w:left="34"/>
              <w:rPr>
                <w:b w:val="0"/>
                <w:lang w:val="en-US"/>
              </w:rPr>
            </w:pPr>
          </w:p>
        </w:tc>
        <w:tc>
          <w:tcPr>
            <w:tcW w:w="4394" w:type="dxa"/>
          </w:tcPr>
          <w:p w:rsidR="00FC3C1A" w:rsidRPr="003513D4" w:rsidRDefault="00FC3C1A" w:rsidP="00154E04">
            <w:pPr>
              <w:jc w:val="both"/>
              <w:rPr>
                <w:b w:val="0"/>
                <w:bCs w:val="0"/>
                <w:sz w:val="16"/>
                <w:szCs w:val="16"/>
                <w:lang w:val="en-US"/>
              </w:rPr>
            </w:pPr>
            <w:r w:rsidRPr="003513D4">
              <w:rPr>
                <w:rFonts w:cstheme="minorHAnsi"/>
                <w:b w:val="0"/>
                <w:color w:val="000000"/>
                <w:sz w:val="16"/>
                <w:szCs w:val="16"/>
                <w:shd w:val="clear" w:color="auto" w:fill="F0F0F0"/>
                <w:lang w:val="en-US"/>
              </w:rPr>
              <w:t>The main goal of this chair is to introduce the students to the fundamental principles of environmental economy and natural resources, including environmental policy. The concepts of economic sustainability, the limits of economic growth, and indicators of sustainability are studied. Also, the relationships between economy and environment, including economic aspects of pollution, are analyzed. The chair’s final part approaches the main objectives and instruments of environmental economic-policies, environmental taxes, and the application of environmental policies in the private sector.</w:t>
            </w:r>
          </w:p>
        </w:tc>
        <w:tc>
          <w:tcPr>
            <w:tcW w:w="1916" w:type="dxa"/>
            <w:vAlign w:val="center"/>
          </w:tcPr>
          <w:p w:rsidR="00FC3C1A" w:rsidRPr="003513D4" w:rsidRDefault="00FC3C1A" w:rsidP="00D44D21">
            <w:pPr>
              <w:rPr>
                <w:b w:val="0"/>
                <w:bCs w:val="0"/>
                <w:sz w:val="18"/>
                <w:szCs w:val="18"/>
                <w:lang w:val="en-GB"/>
              </w:rPr>
            </w:pPr>
          </w:p>
        </w:tc>
      </w:tr>
      <w:tr w:rsidR="00FC3C1A" w:rsidRPr="00BB13FF" w:rsidTr="00DA5AA0">
        <w:trPr>
          <w:trHeight w:val="74"/>
        </w:trPr>
        <w:tc>
          <w:tcPr>
            <w:tcW w:w="2877" w:type="dxa"/>
          </w:tcPr>
          <w:p w:rsidR="00FC3C1A" w:rsidRPr="003513D4" w:rsidRDefault="00FC3C1A" w:rsidP="00D44D21">
            <w:pPr>
              <w:pStyle w:val="ListParagraph"/>
              <w:numPr>
                <w:ilvl w:val="0"/>
                <w:numId w:val="2"/>
              </w:numPr>
              <w:spacing w:after="100" w:afterAutospacing="1" w:line="240" w:lineRule="auto"/>
              <w:ind w:left="425" w:hanging="357"/>
              <w:jc w:val="both"/>
              <w:rPr>
                <w:rFonts w:ascii="Times New Roman" w:eastAsia="Times New Roman" w:hAnsi="Times New Roman" w:cs="Times New Roman"/>
                <w:lang w:val="en-GB" w:eastAsia="ru-RU"/>
              </w:rPr>
            </w:pPr>
          </w:p>
        </w:tc>
        <w:tc>
          <w:tcPr>
            <w:tcW w:w="633" w:type="dxa"/>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FC3C1A" w:rsidRPr="003513D4" w:rsidRDefault="00FC3C1A" w:rsidP="00471344">
            <w:pPr>
              <w:jc w:val="center"/>
              <w:rPr>
                <w:rFonts w:eastAsia="Times New Roman"/>
                <w:b w:val="0"/>
                <w:bCs w:val="0"/>
                <w:lang w:val="en-GB" w:eastAsia="ru-RU"/>
              </w:rPr>
            </w:pPr>
            <w:r>
              <w:rPr>
                <w:rFonts w:eastAsia="Times New Roman"/>
                <w:b w:val="0"/>
                <w:bCs w:val="0"/>
                <w:lang w:val="en-GB" w:eastAsia="ru-RU"/>
              </w:rPr>
              <w:t>3</w:t>
            </w:r>
          </w:p>
        </w:tc>
        <w:tc>
          <w:tcPr>
            <w:tcW w:w="1276" w:type="dxa"/>
          </w:tcPr>
          <w:p w:rsidR="00FC3C1A" w:rsidRPr="003513D4" w:rsidRDefault="00FC3C1A" w:rsidP="00D44D21">
            <w:pPr>
              <w:rPr>
                <w:rFonts w:eastAsia="Times New Roman"/>
                <w:b w:val="0"/>
                <w:bCs w:val="0"/>
                <w:sz w:val="18"/>
                <w:szCs w:val="18"/>
                <w:lang w:val="en-GB" w:eastAsia="ru-RU"/>
              </w:rPr>
            </w:pPr>
          </w:p>
        </w:tc>
        <w:tc>
          <w:tcPr>
            <w:tcW w:w="1701" w:type="dxa"/>
            <w:vAlign w:val="center"/>
          </w:tcPr>
          <w:p w:rsidR="00FC3C1A" w:rsidRPr="003513D4" w:rsidRDefault="00FC3C1A" w:rsidP="00DA5AA0">
            <w:pPr>
              <w:ind w:left="34"/>
              <w:rPr>
                <w:b w:val="0"/>
                <w:lang w:val="en-US"/>
              </w:rPr>
            </w:pPr>
            <w:r w:rsidRPr="003513D4">
              <w:rPr>
                <w:b w:val="0"/>
                <w:lang w:val="en-US"/>
              </w:rPr>
              <w:t>Advanced instrumentation</w:t>
            </w:r>
          </w:p>
          <w:p w:rsidR="00FC3C1A" w:rsidRPr="003513D4" w:rsidRDefault="00FC3C1A" w:rsidP="00DA5AA0">
            <w:pPr>
              <w:ind w:left="34"/>
              <w:rPr>
                <w:b w:val="0"/>
                <w:lang w:val="en-US"/>
              </w:rPr>
            </w:pPr>
          </w:p>
        </w:tc>
        <w:tc>
          <w:tcPr>
            <w:tcW w:w="4394" w:type="dxa"/>
          </w:tcPr>
          <w:p w:rsidR="00FC3C1A" w:rsidRPr="003513D4" w:rsidRDefault="00FC3C1A" w:rsidP="00154E04">
            <w:pPr>
              <w:jc w:val="both"/>
              <w:rPr>
                <w:b w:val="0"/>
                <w:bCs w:val="0"/>
                <w:sz w:val="16"/>
                <w:szCs w:val="16"/>
                <w:lang w:val="en-US"/>
              </w:rPr>
            </w:pPr>
            <w:r w:rsidRPr="003513D4">
              <w:rPr>
                <w:rFonts w:cstheme="minorHAnsi"/>
                <w:b w:val="0"/>
                <w:color w:val="000000"/>
                <w:sz w:val="16"/>
                <w:szCs w:val="16"/>
                <w:shd w:val="clear" w:color="auto" w:fill="F0F0F0"/>
                <w:lang w:val="en-US"/>
              </w:rPr>
              <w:t xml:space="preserve">This chair covers advanced and novel aspects of instrumental techniques currently used in environmental studies. These include mass spectrometry, atomic absorption spectrometry, induced coupled plasma, gas chromatography, high pressure liquid chromatography, and thin electrophoresis. The hands-on part of the chair will include the determination of organic pollutants using GC-MS, the determination of heavy metals in solid samples using AAS with </w:t>
            </w:r>
            <w:proofErr w:type="spellStart"/>
            <w:r w:rsidRPr="003513D4">
              <w:rPr>
                <w:rFonts w:cstheme="minorHAnsi"/>
                <w:b w:val="0"/>
                <w:color w:val="000000"/>
                <w:sz w:val="16"/>
                <w:szCs w:val="16"/>
                <w:shd w:val="clear" w:color="auto" w:fill="F0F0F0"/>
                <w:lang w:val="en-US"/>
              </w:rPr>
              <w:t>electrothermic</w:t>
            </w:r>
            <w:proofErr w:type="spellEnd"/>
            <w:r w:rsidRPr="003513D4">
              <w:rPr>
                <w:rFonts w:cstheme="minorHAnsi"/>
                <w:b w:val="0"/>
                <w:color w:val="000000"/>
                <w:sz w:val="16"/>
                <w:szCs w:val="16"/>
                <w:shd w:val="clear" w:color="auto" w:fill="F0F0F0"/>
                <w:lang w:val="en-US"/>
              </w:rPr>
              <w:t xml:space="preserve"> atomization, and the measurement of trace elements using ICP-MS.</w:t>
            </w:r>
            <w:r w:rsidRPr="003513D4">
              <w:rPr>
                <w:b w:val="0"/>
                <w:bCs w:val="0"/>
                <w:sz w:val="16"/>
                <w:szCs w:val="16"/>
                <w:lang w:val="en-US"/>
              </w:rPr>
              <w:t xml:space="preserve"> </w:t>
            </w:r>
          </w:p>
        </w:tc>
        <w:tc>
          <w:tcPr>
            <w:tcW w:w="1916" w:type="dxa"/>
            <w:vAlign w:val="center"/>
          </w:tcPr>
          <w:p w:rsidR="00FC3C1A" w:rsidRPr="003513D4" w:rsidRDefault="00FC3C1A" w:rsidP="00D44D21">
            <w:pPr>
              <w:rPr>
                <w:b w:val="0"/>
                <w:bCs w:val="0"/>
                <w:sz w:val="18"/>
                <w:szCs w:val="18"/>
                <w:lang w:val="en-GB"/>
              </w:rPr>
            </w:pPr>
          </w:p>
        </w:tc>
      </w:tr>
      <w:tr w:rsidR="00FC3C1A" w:rsidRPr="00BB13FF" w:rsidTr="00DA5AA0">
        <w:trPr>
          <w:trHeight w:val="74"/>
        </w:trPr>
        <w:tc>
          <w:tcPr>
            <w:tcW w:w="2877" w:type="dxa"/>
          </w:tcPr>
          <w:p w:rsidR="00FC3C1A" w:rsidRPr="003513D4" w:rsidRDefault="00FC3C1A" w:rsidP="00D44D21">
            <w:pPr>
              <w:pStyle w:val="ListParagraph"/>
              <w:numPr>
                <w:ilvl w:val="0"/>
                <w:numId w:val="2"/>
              </w:numPr>
              <w:spacing w:after="100" w:afterAutospacing="1" w:line="240" w:lineRule="auto"/>
              <w:ind w:left="425" w:hanging="357"/>
              <w:jc w:val="both"/>
              <w:rPr>
                <w:rFonts w:ascii="Times New Roman" w:eastAsia="Times New Roman" w:hAnsi="Times New Roman" w:cs="Times New Roman"/>
                <w:lang w:val="en-GB" w:eastAsia="ru-RU"/>
              </w:rPr>
            </w:pPr>
          </w:p>
        </w:tc>
        <w:tc>
          <w:tcPr>
            <w:tcW w:w="633" w:type="dxa"/>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1</w:t>
            </w:r>
            <w:r w:rsidRPr="003513D4">
              <w:rPr>
                <w:rFonts w:eastAsia="Times New Roman"/>
                <w:b w:val="0"/>
                <w:bCs w:val="0"/>
                <w:sz w:val="22"/>
                <w:szCs w:val="22"/>
                <w:vertAlign w:val="superscript"/>
                <w:lang w:val="en-GB" w:eastAsia="ru-RU"/>
              </w:rPr>
              <w:t>st</w:t>
            </w:r>
          </w:p>
        </w:tc>
        <w:tc>
          <w:tcPr>
            <w:tcW w:w="1134" w:type="dxa"/>
            <w:gridSpan w:val="2"/>
            <w:vAlign w:val="center"/>
          </w:tcPr>
          <w:p w:rsidR="00FC3C1A" w:rsidRPr="003513D4" w:rsidRDefault="00FC3C1A" w:rsidP="004C7975">
            <w:pPr>
              <w:jc w:val="center"/>
              <w:rPr>
                <w:rFonts w:eastAsia="Times New Roman"/>
                <w:b w:val="0"/>
                <w:bCs w:val="0"/>
                <w:sz w:val="22"/>
                <w:szCs w:val="22"/>
                <w:lang w:val="en-GB" w:eastAsia="ru-RU"/>
              </w:rPr>
            </w:pPr>
            <w:r w:rsidRPr="003513D4">
              <w:rPr>
                <w:rFonts w:eastAsia="Times New Roman"/>
                <w:b w:val="0"/>
                <w:bCs w:val="0"/>
                <w:sz w:val="22"/>
                <w:szCs w:val="22"/>
                <w:lang w:val="en-GB" w:eastAsia="ru-RU"/>
              </w:rPr>
              <w:t>2</w:t>
            </w:r>
            <w:r w:rsidRPr="003513D4">
              <w:rPr>
                <w:rFonts w:eastAsia="Times New Roman"/>
                <w:b w:val="0"/>
                <w:bCs w:val="0"/>
                <w:sz w:val="22"/>
                <w:szCs w:val="22"/>
                <w:vertAlign w:val="superscript"/>
                <w:lang w:val="en-GB" w:eastAsia="ru-RU"/>
              </w:rPr>
              <w:t>nd</w:t>
            </w:r>
          </w:p>
        </w:tc>
        <w:tc>
          <w:tcPr>
            <w:tcW w:w="992" w:type="dxa"/>
            <w:gridSpan w:val="2"/>
            <w:vAlign w:val="center"/>
          </w:tcPr>
          <w:p w:rsidR="00FC3C1A" w:rsidRPr="003513D4" w:rsidRDefault="00FC3C1A" w:rsidP="00471344">
            <w:pPr>
              <w:jc w:val="center"/>
              <w:rPr>
                <w:rFonts w:eastAsia="Times New Roman"/>
                <w:b w:val="0"/>
                <w:bCs w:val="0"/>
                <w:lang w:val="en-GB" w:eastAsia="ru-RU"/>
              </w:rPr>
            </w:pPr>
            <w:r>
              <w:rPr>
                <w:rFonts w:eastAsia="Times New Roman"/>
                <w:b w:val="0"/>
                <w:bCs w:val="0"/>
                <w:lang w:val="en-GB" w:eastAsia="ru-RU"/>
              </w:rPr>
              <w:t>3</w:t>
            </w:r>
          </w:p>
        </w:tc>
        <w:tc>
          <w:tcPr>
            <w:tcW w:w="1276" w:type="dxa"/>
          </w:tcPr>
          <w:p w:rsidR="00FC3C1A" w:rsidRPr="003513D4" w:rsidRDefault="00FC3C1A" w:rsidP="00D44D21">
            <w:pPr>
              <w:rPr>
                <w:rFonts w:eastAsia="Times New Roman"/>
                <w:b w:val="0"/>
                <w:bCs w:val="0"/>
                <w:sz w:val="18"/>
                <w:szCs w:val="18"/>
                <w:lang w:val="en-GB" w:eastAsia="ru-RU"/>
              </w:rPr>
            </w:pPr>
          </w:p>
        </w:tc>
        <w:tc>
          <w:tcPr>
            <w:tcW w:w="1701" w:type="dxa"/>
            <w:vAlign w:val="center"/>
          </w:tcPr>
          <w:p w:rsidR="00FC3C1A" w:rsidRPr="003513D4" w:rsidRDefault="00FC3C1A" w:rsidP="00DA5AA0">
            <w:pPr>
              <w:ind w:left="34"/>
              <w:rPr>
                <w:b w:val="0"/>
                <w:lang w:val="en-US"/>
              </w:rPr>
            </w:pPr>
            <w:r w:rsidRPr="003513D4">
              <w:rPr>
                <w:b w:val="0"/>
                <w:lang w:val="en-US"/>
              </w:rPr>
              <w:t>Environmental monitoring</w:t>
            </w:r>
          </w:p>
          <w:p w:rsidR="00FC3C1A" w:rsidRPr="003513D4" w:rsidRDefault="00FC3C1A" w:rsidP="00DA5AA0">
            <w:pPr>
              <w:ind w:left="34"/>
              <w:rPr>
                <w:b w:val="0"/>
                <w:lang w:val="en-US"/>
              </w:rPr>
            </w:pPr>
          </w:p>
        </w:tc>
        <w:tc>
          <w:tcPr>
            <w:tcW w:w="4394" w:type="dxa"/>
          </w:tcPr>
          <w:p w:rsidR="00FC3C1A" w:rsidRPr="003513D4" w:rsidRDefault="00FC3C1A" w:rsidP="00154E04">
            <w:pPr>
              <w:jc w:val="both"/>
              <w:rPr>
                <w:b w:val="0"/>
                <w:bCs w:val="0"/>
                <w:sz w:val="16"/>
                <w:szCs w:val="16"/>
                <w:lang w:val="en-US"/>
              </w:rPr>
            </w:pPr>
            <w:r w:rsidRPr="003513D4">
              <w:rPr>
                <w:rFonts w:cstheme="minorHAnsi"/>
                <w:b w:val="0"/>
                <w:color w:val="000000"/>
                <w:sz w:val="16"/>
                <w:szCs w:val="16"/>
                <w:shd w:val="clear" w:color="auto" w:fill="F0F0F0"/>
                <w:lang w:val="en-US"/>
              </w:rPr>
              <w:t xml:space="preserve">The aim of this chair is to introduce automation systems in environmental monitoring. Covered topics include the description of automation systems for analytical operations and the introduction to </w:t>
            </w:r>
            <w:r w:rsidRPr="003513D4">
              <w:rPr>
                <w:rFonts w:cstheme="minorHAnsi"/>
                <w:b w:val="0"/>
                <w:color w:val="000000"/>
                <w:sz w:val="16"/>
                <w:szCs w:val="16"/>
                <w:shd w:val="clear" w:color="auto" w:fill="F0F0F0"/>
                <w:lang w:val="en-US"/>
              </w:rPr>
              <w:lastRenderedPageBreak/>
              <w:t>systems for environmental information management. Discontinuous and continuous automatic analyzers, types of sensors, process analyzers and types (photometric, electrochemical and chromatographic) and their comparison with laboratory methods are discussed. The final part of the chair covers sampling methods and specific aspects of water monitoring (on-line and off-line analyzers) and air monitoring (air quality control networks).</w:t>
            </w:r>
          </w:p>
        </w:tc>
        <w:tc>
          <w:tcPr>
            <w:tcW w:w="1916" w:type="dxa"/>
            <w:vAlign w:val="center"/>
          </w:tcPr>
          <w:p w:rsidR="00FC3C1A" w:rsidRPr="003513D4" w:rsidRDefault="00FC3C1A" w:rsidP="00D44D21">
            <w:pPr>
              <w:rPr>
                <w:b w:val="0"/>
                <w:bCs w:val="0"/>
                <w:sz w:val="18"/>
                <w:szCs w:val="18"/>
                <w:lang w:val="en-GB"/>
              </w:rPr>
            </w:pPr>
          </w:p>
        </w:tc>
      </w:tr>
      <w:bookmarkEnd w:id="0"/>
      <w:tr w:rsidR="00FA63A3" w:rsidRPr="00BB13FF" w:rsidTr="00FC3C1A">
        <w:trPr>
          <w:trHeight w:val="396"/>
        </w:trPr>
        <w:tc>
          <w:tcPr>
            <w:tcW w:w="2877" w:type="dxa"/>
          </w:tcPr>
          <w:p w:rsidR="00FA63A3" w:rsidRPr="003513D4" w:rsidRDefault="00FA63A3" w:rsidP="00D44D21">
            <w:pPr>
              <w:rPr>
                <w:rFonts w:eastAsia="Times New Roman"/>
                <w:sz w:val="22"/>
                <w:szCs w:val="22"/>
                <w:lang w:val="en-GB" w:eastAsia="ru-RU"/>
              </w:rPr>
            </w:pPr>
            <w:r w:rsidRPr="003513D4">
              <w:rPr>
                <w:rFonts w:eastAsia="Times New Roman"/>
                <w:sz w:val="22"/>
                <w:szCs w:val="22"/>
                <w:lang w:val="en-GB" w:eastAsia="ru-RU"/>
              </w:rPr>
              <w:lastRenderedPageBreak/>
              <w:t>Total</w:t>
            </w:r>
          </w:p>
        </w:tc>
        <w:tc>
          <w:tcPr>
            <w:tcW w:w="633" w:type="dxa"/>
            <w:vAlign w:val="center"/>
          </w:tcPr>
          <w:p w:rsidR="00FA63A3" w:rsidRPr="00FC3C1A" w:rsidRDefault="00FC3C1A" w:rsidP="00FC3C1A">
            <w:pPr>
              <w:jc w:val="center"/>
              <w:rPr>
                <w:rFonts w:eastAsia="Times New Roman"/>
                <w:bCs w:val="0"/>
                <w:sz w:val="22"/>
                <w:szCs w:val="22"/>
                <w:lang w:val="en-GB" w:eastAsia="ru-RU"/>
              </w:rPr>
            </w:pPr>
            <w:r w:rsidRPr="00FC3C1A">
              <w:rPr>
                <w:rFonts w:eastAsia="Times New Roman"/>
                <w:bCs w:val="0"/>
                <w:sz w:val="22"/>
                <w:szCs w:val="22"/>
                <w:lang w:val="en-GB" w:eastAsia="ru-RU"/>
              </w:rPr>
              <w:t>1</w:t>
            </w:r>
          </w:p>
        </w:tc>
        <w:tc>
          <w:tcPr>
            <w:tcW w:w="1134" w:type="dxa"/>
            <w:gridSpan w:val="2"/>
            <w:vAlign w:val="center"/>
          </w:tcPr>
          <w:p w:rsidR="00FA63A3" w:rsidRPr="00FC3C1A" w:rsidRDefault="00FC3C1A" w:rsidP="00FC3C1A">
            <w:pPr>
              <w:jc w:val="center"/>
              <w:rPr>
                <w:rFonts w:eastAsia="Times New Roman"/>
                <w:bCs w:val="0"/>
                <w:sz w:val="22"/>
                <w:szCs w:val="22"/>
                <w:lang w:val="en-GB" w:eastAsia="ru-RU"/>
              </w:rPr>
            </w:pPr>
            <w:r w:rsidRPr="00FC3C1A">
              <w:rPr>
                <w:rFonts w:eastAsia="Times New Roman"/>
                <w:bCs w:val="0"/>
                <w:sz w:val="22"/>
                <w:szCs w:val="22"/>
                <w:lang w:val="en-GB" w:eastAsia="ru-RU"/>
              </w:rPr>
              <w:t>2</w:t>
            </w:r>
            <w:r w:rsidRPr="00FC3C1A">
              <w:rPr>
                <w:rFonts w:eastAsia="Times New Roman"/>
                <w:bCs w:val="0"/>
                <w:sz w:val="22"/>
                <w:szCs w:val="22"/>
                <w:vertAlign w:val="superscript"/>
                <w:lang w:val="en-GB" w:eastAsia="ru-RU"/>
              </w:rPr>
              <w:t>nd</w:t>
            </w:r>
          </w:p>
        </w:tc>
        <w:tc>
          <w:tcPr>
            <w:tcW w:w="992" w:type="dxa"/>
            <w:gridSpan w:val="2"/>
            <w:vAlign w:val="center"/>
          </w:tcPr>
          <w:p w:rsidR="00FA63A3" w:rsidRPr="00FC3C1A" w:rsidRDefault="00FC3C1A" w:rsidP="00FC3C1A">
            <w:pPr>
              <w:jc w:val="center"/>
              <w:rPr>
                <w:rFonts w:eastAsia="Times New Roman"/>
                <w:bCs w:val="0"/>
                <w:sz w:val="22"/>
                <w:szCs w:val="22"/>
                <w:lang w:val="en-GB" w:eastAsia="ru-RU"/>
              </w:rPr>
            </w:pPr>
            <w:r w:rsidRPr="00FC3C1A">
              <w:rPr>
                <w:rFonts w:eastAsia="Times New Roman"/>
                <w:bCs w:val="0"/>
                <w:sz w:val="22"/>
                <w:szCs w:val="22"/>
                <w:lang w:val="en-GB" w:eastAsia="ru-RU"/>
              </w:rPr>
              <w:t>30</w:t>
            </w:r>
          </w:p>
        </w:tc>
        <w:tc>
          <w:tcPr>
            <w:tcW w:w="1276" w:type="dxa"/>
            <w:vAlign w:val="center"/>
          </w:tcPr>
          <w:p w:rsidR="00FC3C1A" w:rsidRPr="00FC3C1A" w:rsidRDefault="00FC3C1A" w:rsidP="00FC3C1A">
            <w:pPr>
              <w:jc w:val="center"/>
              <w:rPr>
                <w:rFonts w:eastAsia="Times New Roman"/>
                <w:bCs w:val="0"/>
                <w:sz w:val="22"/>
                <w:szCs w:val="18"/>
                <w:lang w:val="en-GB" w:eastAsia="ru-RU"/>
              </w:rPr>
            </w:pPr>
            <w:r w:rsidRPr="00FC3C1A">
              <w:rPr>
                <w:rFonts w:eastAsia="Times New Roman"/>
                <w:bCs w:val="0"/>
                <w:sz w:val="22"/>
                <w:szCs w:val="18"/>
                <w:lang w:val="en-GB" w:eastAsia="ru-RU"/>
              </w:rPr>
              <w:t>2 chairs</w:t>
            </w:r>
          </w:p>
          <w:p w:rsidR="00FA63A3" w:rsidRPr="00FC3C1A" w:rsidRDefault="00FC3C1A" w:rsidP="00FC3C1A">
            <w:pPr>
              <w:jc w:val="center"/>
              <w:rPr>
                <w:rFonts w:eastAsia="Times New Roman"/>
                <w:bCs w:val="0"/>
                <w:sz w:val="22"/>
                <w:szCs w:val="22"/>
                <w:lang w:val="en-GB" w:eastAsia="ru-RU"/>
              </w:rPr>
            </w:pPr>
            <w:r w:rsidRPr="00FC3C1A">
              <w:rPr>
                <w:rFonts w:eastAsia="Times New Roman"/>
                <w:bCs w:val="0"/>
                <w:sz w:val="22"/>
                <w:szCs w:val="18"/>
                <w:lang w:val="en-GB" w:eastAsia="ru-RU"/>
              </w:rPr>
              <w:t>(6 ECTS)</w:t>
            </w:r>
          </w:p>
        </w:tc>
        <w:tc>
          <w:tcPr>
            <w:tcW w:w="1701" w:type="dxa"/>
            <w:vAlign w:val="center"/>
          </w:tcPr>
          <w:p w:rsidR="00FC3C1A" w:rsidRDefault="00FC3C1A" w:rsidP="00FC3C1A">
            <w:pPr>
              <w:jc w:val="center"/>
              <w:rPr>
                <w:rFonts w:eastAsia="Times New Roman"/>
                <w:bCs w:val="0"/>
                <w:sz w:val="22"/>
                <w:szCs w:val="18"/>
                <w:lang w:val="en-GB" w:eastAsia="ru-RU"/>
              </w:rPr>
            </w:pPr>
            <w:r w:rsidRPr="00FC3C1A">
              <w:rPr>
                <w:rFonts w:eastAsia="Times New Roman"/>
                <w:bCs w:val="0"/>
                <w:sz w:val="22"/>
                <w:szCs w:val="18"/>
                <w:lang w:val="en-GB" w:eastAsia="ru-RU"/>
              </w:rPr>
              <w:t>4</w:t>
            </w:r>
            <w:r>
              <w:rPr>
                <w:rFonts w:eastAsia="Times New Roman"/>
                <w:bCs w:val="0"/>
                <w:sz w:val="22"/>
                <w:szCs w:val="18"/>
                <w:lang w:val="en-GB" w:eastAsia="ru-RU"/>
              </w:rPr>
              <w:t xml:space="preserve"> </w:t>
            </w:r>
          </w:p>
          <w:p w:rsidR="00FA63A3" w:rsidRPr="00FC3C1A" w:rsidRDefault="00FC3C1A" w:rsidP="00FC3C1A">
            <w:pPr>
              <w:jc w:val="center"/>
              <w:rPr>
                <w:rFonts w:eastAsia="Times New Roman"/>
                <w:bCs w:val="0"/>
                <w:sz w:val="22"/>
                <w:szCs w:val="22"/>
                <w:lang w:val="en-GB" w:eastAsia="ru-RU"/>
              </w:rPr>
            </w:pPr>
            <w:r>
              <w:rPr>
                <w:rFonts w:eastAsia="Times New Roman"/>
                <w:bCs w:val="0"/>
                <w:sz w:val="22"/>
                <w:szCs w:val="18"/>
                <w:lang w:val="en-GB" w:eastAsia="ru-RU"/>
              </w:rPr>
              <w:t>(3 ECTS/chair)</w:t>
            </w:r>
          </w:p>
        </w:tc>
        <w:tc>
          <w:tcPr>
            <w:tcW w:w="4394" w:type="dxa"/>
          </w:tcPr>
          <w:p w:rsidR="00FA63A3" w:rsidRPr="003513D4" w:rsidRDefault="00FA63A3" w:rsidP="00D44D21">
            <w:pPr>
              <w:jc w:val="both"/>
              <w:rPr>
                <w:bCs w:val="0"/>
                <w:sz w:val="18"/>
                <w:szCs w:val="18"/>
                <w:lang w:val="en-GB"/>
              </w:rPr>
            </w:pPr>
          </w:p>
        </w:tc>
        <w:tc>
          <w:tcPr>
            <w:tcW w:w="1916" w:type="dxa"/>
            <w:vAlign w:val="center"/>
          </w:tcPr>
          <w:p w:rsidR="00FA63A3" w:rsidRPr="003513D4" w:rsidRDefault="00FA63A3" w:rsidP="00D44D21">
            <w:pPr>
              <w:rPr>
                <w:b w:val="0"/>
                <w:bCs w:val="0"/>
                <w:sz w:val="18"/>
                <w:szCs w:val="18"/>
                <w:lang w:val="en-GB"/>
              </w:rPr>
            </w:pPr>
          </w:p>
        </w:tc>
      </w:tr>
      <w:tr w:rsidR="00FA63A3" w:rsidRPr="008D3514" w:rsidTr="00FC3C1A">
        <w:trPr>
          <w:trHeight w:val="268"/>
        </w:trPr>
        <w:tc>
          <w:tcPr>
            <w:tcW w:w="2877" w:type="dxa"/>
          </w:tcPr>
          <w:p w:rsidR="00FA63A3" w:rsidRPr="008D3514" w:rsidRDefault="00FA63A3" w:rsidP="008D3514">
            <w:pPr>
              <w:rPr>
                <w:rFonts w:eastAsia="Times New Roman"/>
                <w:sz w:val="22"/>
                <w:szCs w:val="18"/>
                <w:lang w:val="en-GB" w:eastAsia="ru-RU"/>
              </w:rPr>
            </w:pPr>
            <w:r w:rsidRPr="008D3514">
              <w:rPr>
                <w:rFonts w:eastAsia="Times New Roman"/>
                <w:sz w:val="22"/>
                <w:szCs w:val="18"/>
                <w:lang w:val="en-GB" w:eastAsia="ru-RU"/>
              </w:rPr>
              <w:t>Total for Master course:</w:t>
            </w:r>
          </w:p>
        </w:tc>
        <w:tc>
          <w:tcPr>
            <w:tcW w:w="633" w:type="dxa"/>
            <w:vAlign w:val="center"/>
          </w:tcPr>
          <w:p w:rsidR="00FA63A3" w:rsidRPr="008D3514" w:rsidRDefault="00FA63A3" w:rsidP="00FC3C1A">
            <w:pPr>
              <w:jc w:val="center"/>
              <w:rPr>
                <w:rFonts w:eastAsia="Times New Roman"/>
                <w:bCs w:val="0"/>
                <w:sz w:val="22"/>
                <w:szCs w:val="18"/>
                <w:lang w:val="en-GB" w:eastAsia="ru-RU"/>
              </w:rPr>
            </w:pPr>
            <w:r w:rsidRPr="008D3514">
              <w:rPr>
                <w:rFonts w:eastAsia="Times New Roman"/>
                <w:bCs w:val="0"/>
                <w:sz w:val="22"/>
                <w:szCs w:val="18"/>
                <w:lang w:val="en-GB" w:eastAsia="ru-RU"/>
              </w:rPr>
              <w:t>1</w:t>
            </w:r>
            <w:r w:rsidR="00471344" w:rsidRPr="008D3514">
              <w:rPr>
                <w:rFonts w:eastAsia="Times New Roman"/>
                <w:bCs w:val="0"/>
                <w:sz w:val="22"/>
                <w:szCs w:val="18"/>
                <w:lang w:val="en-GB" w:eastAsia="ru-RU"/>
              </w:rPr>
              <w:t xml:space="preserve"> year</w:t>
            </w:r>
          </w:p>
        </w:tc>
        <w:tc>
          <w:tcPr>
            <w:tcW w:w="1134" w:type="dxa"/>
            <w:gridSpan w:val="2"/>
            <w:vAlign w:val="center"/>
          </w:tcPr>
          <w:p w:rsidR="00FA63A3" w:rsidRPr="008D3514" w:rsidRDefault="00FA63A3" w:rsidP="00FC3C1A">
            <w:pPr>
              <w:jc w:val="center"/>
              <w:rPr>
                <w:rFonts w:eastAsia="Times New Roman"/>
                <w:bCs w:val="0"/>
                <w:sz w:val="22"/>
                <w:szCs w:val="18"/>
                <w:lang w:val="en-GB" w:eastAsia="ru-RU"/>
              </w:rPr>
            </w:pPr>
            <w:r w:rsidRPr="008D3514">
              <w:rPr>
                <w:rFonts w:eastAsia="Times New Roman"/>
                <w:bCs w:val="0"/>
                <w:sz w:val="22"/>
                <w:szCs w:val="18"/>
                <w:lang w:val="en-GB" w:eastAsia="ru-RU"/>
              </w:rPr>
              <w:t>2 semesters</w:t>
            </w:r>
          </w:p>
        </w:tc>
        <w:tc>
          <w:tcPr>
            <w:tcW w:w="992" w:type="dxa"/>
            <w:gridSpan w:val="2"/>
            <w:vAlign w:val="center"/>
          </w:tcPr>
          <w:p w:rsidR="00FA63A3" w:rsidRPr="008D3514" w:rsidRDefault="00FA63A3" w:rsidP="00FC3C1A">
            <w:pPr>
              <w:jc w:val="center"/>
              <w:rPr>
                <w:rFonts w:eastAsia="Times New Roman"/>
                <w:bCs w:val="0"/>
                <w:sz w:val="22"/>
                <w:szCs w:val="18"/>
                <w:lang w:val="en-GB" w:eastAsia="ru-RU"/>
              </w:rPr>
            </w:pPr>
            <w:r w:rsidRPr="008D3514">
              <w:rPr>
                <w:rFonts w:eastAsia="Times New Roman"/>
                <w:bCs w:val="0"/>
                <w:sz w:val="22"/>
                <w:szCs w:val="18"/>
                <w:lang w:val="en-GB" w:eastAsia="ru-RU"/>
              </w:rPr>
              <w:t>60</w:t>
            </w:r>
          </w:p>
        </w:tc>
        <w:tc>
          <w:tcPr>
            <w:tcW w:w="1276" w:type="dxa"/>
            <w:vAlign w:val="center"/>
          </w:tcPr>
          <w:p w:rsidR="00226402" w:rsidRPr="00FC3C1A" w:rsidRDefault="00226402" w:rsidP="00FC3C1A">
            <w:pPr>
              <w:jc w:val="center"/>
              <w:rPr>
                <w:rFonts w:eastAsia="Times New Roman"/>
                <w:bCs w:val="0"/>
                <w:sz w:val="22"/>
                <w:szCs w:val="18"/>
                <w:lang w:val="en-GB" w:eastAsia="ru-RU"/>
              </w:rPr>
            </w:pPr>
            <w:r w:rsidRPr="00FC3C1A">
              <w:rPr>
                <w:rFonts w:eastAsia="Times New Roman"/>
                <w:bCs w:val="0"/>
                <w:sz w:val="22"/>
                <w:szCs w:val="18"/>
                <w:lang w:val="en-GB" w:eastAsia="ru-RU"/>
              </w:rPr>
              <w:t>2 chairs</w:t>
            </w:r>
          </w:p>
          <w:p w:rsidR="00FA63A3" w:rsidRPr="00FC3C1A" w:rsidRDefault="00226402" w:rsidP="00FC3C1A">
            <w:pPr>
              <w:jc w:val="center"/>
              <w:rPr>
                <w:rFonts w:eastAsia="Times New Roman"/>
                <w:bCs w:val="0"/>
                <w:sz w:val="22"/>
                <w:szCs w:val="18"/>
                <w:lang w:val="en-GB" w:eastAsia="ru-RU"/>
              </w:rPr>
            </w:pPr>
            <w:r w:rsidRPr="00FC3C1A">
              <w:rPr>
                <w:rFonts w:eastAsia="Times New Roman"/>
                <w:bCs w:val="0"/>
                <w:sz w:val="22"/>
                <w:szCs w:val="18"/>
                <w:lang w:val="en-GB" w:eastAsia="ru-RU"/>
              </w:rPr>
              <w:t>(6 ECTS)</w:t>
            </w:r>
          </w:p>
        </w:tc>
        <w:tc>
          <w:tcPr>
            <w:tcW w:w="1701" w:type="dxa"/>
            <w:vAlign w:val="center"/>
          </w:tcPr>
          <w:p w:rsidR="00FC3C1A" w:rsidRDefault="00226402" w:rsidP="00FC3C1A">
            <w:pPr>
              <w:jc w:val="center"/>
              <w:rPr>
                <w:rFonts w:eastAsia="Times New Roman"/>
                <w:bCs w:val="0"/>
                <w:sz w:val="22"/>
                <w:szCs w:val="18"/>
                <w:lang w:val="en-GB" w:eastAsia="ru-RU"/>
              </w:rPr>
            </w:pPr>
            <w:r w:rsidRPr="00FC3C1A">
              <w:rPr>
                <w:rFonts w:eastAsia="Times New Roman"/>
                <w:bCs w:val="0"/>
                <w:sz w:val="22"/>
                <w:szCs w:val="18"/>
                <w:lang w:val="en-GB" w:eastAsia="ru-RU"/>
              </w:rPr>
              <w:t>4</w:t>
            </w:r>
          </w:p>
          <w:p w:rsidR="00FA63A3" w:rsidRPr="00FC3C1A" w:rsidRDefault="00FC3C1A" w:rsidP="00FC3C1A">
            <w:pPr>
              <w:jc w:val="center"/>
              <w:rPr>
                <w:rFonts w:eastAsia="Times New Roman"/>
                <w:bCs w:val="0"/>
                <w:sz w:val="22"/>
                <w:szCs w:val="18"/>
                <w:lang w:val="en-GB" w:eastAsia="ru-RU"/>
              </w:rPr>
            </w:pPr>
            <w:r>
              <w:rPr>
                <w:rFonts w:eastAsia="Times New Roman"/>
                <w:bCs w:val="0"/>
                <w:sz w:val="22"/>
                <w:szCs w:val="18"/>
                <w:lang w:val="en-GB" w:eastAsia="ru-RU"/>
              </w:rPr>
              <w:t>(3 ECTS/chair)</w:t>
            </w:r>
          </w:p>
        </w:tc>
        <w:tc>
          <w:tcPr>
            <w:tcW w:w="4394" w:type="dxa"/>
          </w:tcPr>
          <w:p w:rsidR="00FA63A3" w:rsidRPr="008D3514" w:rsidRDefault="00FA63A3" w:rsidP="008D3514">
            <w:pPr>
              <w:jc w:val="center"/>
              <w:rPr>
                <w:bCs w:val="0"/>
                <w:sz w:val="22"/>
                <w:szCs w:val="18"/>
                <w:lang w:val="en-GB"/>
              </w:rPr>
            </w:pPr>
          </w:p>
        </w:tc>
        <w:tc>
          <w:tcPr>
            <w:tcW w:w="1916" w:type="dxa"/>
            <w:vAlign w:val="center"/>
          </w:tcPr>
          <w:p w:rsidR="00FA63A3" w:rsidRPr="008D3514" w:rsidRDefault="00FA63A3" w:rsidP="008D3514">
            <w:pPr>
              <w:jc w:val="center"/>
              <w:rPr>
                <w:b w:val="0"/>
                <w:bCs w:val="0"/>
                <w:sz w:val="22"/>
                <w:szCs w:val="18"/>
                <w:lang w:val="en-GB"/>
              </w:rPr>
            </w:pPr>
          </w:p>
        </w:tc>
      </w:tr>
    </w:tbl>
    <w:p w:rsidR="00FA63A3" w:rsidRDefault="00FA63A3" w:rsidP="00FA63A3">
      <w:pPr>
        <w:jc w:val="center"/>
        <w:rPr>
          <w:rFonts w:ascii="Arial" w:hAnsi="Arial" w:cs="Arial"/>
          <w:color w:val="000000"/>
          <w:sz w:val="28"/>
          <w:szCs w:val="28"/>
          <w:shd w:val="clear" w:color="auto" w:fill="FFFFFF"/>
          <w:lang w:val="en-US"/>
        </w:rPr>
      </w:pPr>
    </w:p>
    <w:p w:rsidR="00154E04" w:rsidRPr="002912B3" w:rsidRDefault="00154E04" w:rsidP="002912B3">
      <w:pPr>
        <w:rPr>
          <w:rFonts w:ascii="Arial" w:hAnsi="Arial" w:cs="Arial"/>
          <w:b w:val="0"/>
          <w:color w:val="000000"/>
          <w:sz w:val="24"/>
          <w:szCs w:val="24"/>
          <w:shd w:val="clear" w:color="auto" w:fill="FFFFFF"/>
          <w:lang w:val="en-US"/>
        </w:rPr>
      </w:pPr>
      <w:r w:rsidRPr="002912B3">
        <w:rPr>
          <w:rFonts w:ascii="Arial" w:hAnsi="Arial" w:cs="Arial"/>
          <w:b w:val="0"/>
          <w:color w:val="000000"/>
          <w:sz w:val="24"/>
          <w:szCs w:val="24"/>
          <w:shd w:val="clear" w:color="auto" w:fill="FFFFFF"/>
          <w:lang w:val="en-US"/>
        </w:rPr>
        <w:t>All the chairs in this Master’s program are linked to the RETHINK’s theme of Environmental Science</w:t>
      </w:r>
    </w:p>
    <w:p w:rsidR="002912B3" w:rsidRDefault="002912B3" w:rsidP="002912B3">
      <w:pPr>
        <w:jc w:val="both"/>
        <w:rPr>
          <w:rFonts w:ascii="Arial" w:hAnsi="Arial" w:cs="Arial"/>
          <w:color w:val="000000"/>
          <w:sz w:val="28"/>
          <w:szCs w:val="28"/>
          <w:shd w:val="clear" w:color="auto" w:fill="FFFFFF"/>
          <w:lang w:val="en-US"/>
        </w:rPr>
      </w:pPr>
    </w:p>
    <w:p w:rsidR="002912B3" w:rsidRDefault="002912B3" w:rsidP="002912B3">
      <w:pPr>
        <w:jc w:val="both"/>
        <w:rPr>
          <w:rFonts w:ascii="Arial" w:hAnsi="Arial" w:cs="Arial"/>
          <w:color w:val="000000"/>
          <w:sz w:val="28"/>
          <w:szCs w:val="28"/>
          <w:shd w:val="clear" w:color="auto" w:fill="FFFFFF"/>
          <w:lang w:val="en-US"/>
        </w:rPr>
      </w:pPr>
    </w:p>
    <w:p w:rsidR="005D7B23" w:rsidRPr="00E26FDD" w:rsidRDefault="005D7B23" w:rsidP="002912B3">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 xml:space="preserve">MATRIX of existing </w:t>
      </w:r>
      <w:r>
        <w:rPr>
          <w:rFonts w:ascii="Arial" w:hAnsi="Arial" w:cs="Arial"/>
          <w:color w:val="000000"/>
          <w:sz w:val="28"/>
          <w:szCs w:val="28"/>
          <w:shd w:val="clear" w:color="auto" w:fill="FFFFFF"/>
          <w:lang w:val="en-US"/>
        </w:rPr>
        <w:t>PhD</w:t>
      </w:r>
      <w:r w:rsidRPr="00E26FDD">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program</w:t>
      </w:r>
      <w:r w:rsidR="002F58FB">
        <w:rPr>
          <w:rFonts w:ascii="Arial" w:hAnsi="Arial" w:cs="Arial"/>
          <w:color w:val="000000"/>
          <w:sz w:val="28"/>
          <w:szCs w:val="28"/>
          <w:shd w:val="clear" w:color="auto" w:fill="FFFFFF"/>
          <w:lang w:val="en-US"/>
        </w:rPr>
        <w:t>s</w:t>
      </w:r>
      <w:r w:rsidRPr="00E26FDD">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University of A Coruna</w:t>
      </w:r>
      <w:r w:rsidRPr="00E26FDD">
        <w:rPr>
          <w:rFonts w:ascii="Arial" w:hAnsi="Arial" w:cs="Arial"/>
          <w:color w:val="000000"/>
          <w:sz w:val="28"/>
          <w:szCs w:val="28"/>
          <w:shd w:val="clear" w:color="auto" w:fill="FFFFFF"/>
          <w:lang w:val="en-US"/>
        </w:rPr>
        <w:t>)</w:t>
      </w:r>
    </w:p>
    <w:p w:rsidR="005F213C" w:rsidRDefault="005F213C" w:rsidP="008D19DC">
      <w:pPr>
        <w:spacing w:line="360" w:lineRule="auto"/>
        <w:rPr>
          <w:lang w:val="en-US"/>
        </w:rPr>
      </w:pPr>
    </w:p>
    <w:p w:rsidR="005D7B23" w:rsidRPr="008D19DC" w:rsidRDefault="005D7B23" w:rsidP="008D19DC">
      <w:pPr>
        <w:spacing w:line="360" w:lineRule="auto"/>
        <w:rPr>
          <w:b w:val="0"/>
          <w:sz w:val="24"/>
          <w:szCs w:val="24"/>
          <w:lang w:val="en-US"/>
        </w:rPr>
      </w:pPr>
      <w:r w:rsidRPr="008D19DC">
        <w:rPr>
          <w:b w:val="0"/>
          <w:sz w:val="24"/>
          <w:szCs w:val="24"/>
          <w:lang w:val="en-US"/>
        </w:rPr>
        <w:t xml:space="preserve">The current PhD programs whose </w:t>
      </w:r>
      <w:r w:rsidR="00F11415">
        <w:rPr>
          <w:b w:val="0"/>
          <w:sz w:val="24"/>
          <w:szCs w:val="24"/>
          <w:lang w:val="en-US"/>
        </w:rPr>
        <w:t>scope</w:t>
      </w:r>
      <w:r w:rsidRPr="008D19DC">
        <w:rPr>
          <w:b w:val="0"/>
          <w:sz w:val="24"/>
          <w:szCs w:val="24"/>
          <w:lang w:val="en-US"/>
        </w:rPr>
        <w:t xml:space="preserve"> is related to </w:t>
      </w:r>
      <w:r w:rsidR="00F11415">
        <w:rPr>
          <w:b w:val="0"/>
          <w:sz w:val="24"/>
          <w:szCs w:val="24"/>
          <w:lang w:val="en-US"/>
        </w:rPr>
        <w:t>that of</w:t>
      </w:r>
      <w:r w:rsidRPr="008D19DC">
        <w:rPr>
          <w:b w:val="0"/>
          <w:sz w:val="24"/>
          <w:szCs w:val="24"/>
          <w:lang w:val="en-US"/>
        </w:rPr>
        <w:t xml:space="preserve"> RETHINK are:</w:t>
      </w:r>
    </w:p>
    <w:p w:rsidR="005D7B23" w:rsidRPr="008D19DC" w:rsidRDefault="005D7B23" w:rsidP="008D19DC">
      <w:pPr>
        <w:spacing w:line="360" w:lineRule="auto"/>
        <w:rPr>
          <w:b w:val="0"/>
          <w:sz w:val="24"/>
          <w:szCs w:val="24"/>
          <w:lang w:val="en-US"/>
        </w:rPr>
      </w:pPr>
    </w:p>
    <w:p w:rsidR="005D7B23" w:rsidRPr="008D19DC" w:rsidRDefault="005D7B23" w:rsidP="008D19DC">
      <w:pPr>
        <w:spacing w:line="360" w:lineRule="auto"/>
        <w:rPr>
          <w:sz w:val="24"/>
          <w:szCs w:val="24"/>
          <w:lang w:val="en-US"/>
        </w:rPr>
      </w:pPr>
      <w:r w:rsidRPr="008D19DC">
        <w:rPr>
          <w:sz w:val="24"/>
          <w:szCs w:val="24"/>
          <w:lang w:val="en-US"/>
        </w:rPr>
        <w:t>Environmental Science and Technology</w:t>
      </w:r>
    </w:p>
    <w:p w:rsidR="005D7B23" w:rsidRPr="008D19DC" w:rsidRDefault="005D7B23" w:rsidP="008D19DC">
      <w:pPr>
        <w:spacing w:line="360" w:lineRule="auto"/>
        <w:rPr>
          <w:sz w:val="24"/>
          <w:szCs w:val="24"/>
          <w:lang w:val="en-US"/>
        </w:rPr>
      </w:pPr>
      <w:r w:rsidRPr="008D19DC">
        <w:rPr>
          <w:sz w:val="24"/>
          <w:szCs w:val="24"/>
          <w:lang w:val="en-US"/>
        </w:rPr>
        <w:t>Agriculture and Forestry Research</w:t>
      </w:r>
    </w:p>
    <w:p w:rsidR="005D7B23" w:rsidRPr="008D19DC" w:rsidRDefault="005D7B23" w:rsidP="008D19DC">
      <w:pPr>
        <w:spacing w:line="360" w:lineRule="auto"/>
        <w:rPr>
          <w:sz w:val="24"/>
          <w:szCs w:val="24"/>
          <w:lang w:val="en-US"/>
        </w:rPr>
      </w:pPr>
      <w:r w:rsidRPr="008D19DC">
        <w:rPr>
          <w:sz w:val="24"/>
          <w:szCs w:val="24"/>
          <w:lang w:val="en-US"/>
        </w:rPr>
        <w:t>Environmental and Fundamental Chemistry</w:t>
      </w:r>
    </w:p>
    <w:p w:rsidR="005D7B23" w:rsidRPr="008D19DC" w:rsidRDefault="005D7B23" w:rsidP="008D19DC">
      <w:pPr>
        <w:spacing w:line="360" w:lineRule="auto"/>
        <w:jc w:val="both"/>
        <w:rPr>
          <w:b w:val="0"/>
          <w:sz w:val="24"/>
          <w:szCs w:val="24"/>
          <w:lang w:val="en-US"/>
        </w:rPr>
      </w:pPr>
    </w:p>
    <w:p w:rsidR="005D7B23" w:rsidRPr="008D19DC" w:rsidRDefault="005D7B23" w:rsidP="008D19DC">
      <w:pPr>
        <w:spacing w:line="360" w:lineRule="auto"/>
        <w:jc w:val="both"/>
        <w:rPr>
          <w:b w:val="0"/>
          <w:sz w:val="24"/>
          <w:szCs w:val="24"/>
          <w:lang w:val="en-US"/>
        </w:rPr>
      </w:pPr>
    </w:p>
    <w:p w:rsidR="005D7B23" w:rsidRPr="008D19DC" w:rsidRDefault="0083792E" w:rsidP="008D19DC">
      <w:pPr>
        <w:spacing w:line="360" w:lineRule="auto"/>
        <w:jc w:val="both"/>
        <w:rPr>
          <w:b w:val="0"/>
          <w:sz w:val="24"/>
          <w:szCs w:val="24"/>
          <w:lang w:val="en-US"/>
        </w:rPr>
      </w:pPr>
      <w:r>
        <w:rPr>
          <w:b w:val="0"/>
          <w:sz w:val="24"/>
          <w:szCs w:val="24"/>
          <w:lang w:val="en-US"/>
        </w:rPr>
        <w:t>T</w:t>
      </w:r>
      <w:r w:rsidR="00DD3A07">
        <w:rPr>
          <w:b w:val="0"/>
          <w:sz w:val="24"/>
          <w:szCs w:val="24"/>
          <w:lang w:val="en-US"/>
        </w:rPr>
        <w:t xml:space="preserve">he only requirement to </w:t>
      </w:r>
      <w:proofErr w:type="spellStart"/>
      <w:r w:rsidR="00DD3A07">
        <w:rPr>
          <w:b w:val="0"/>
          <w:sz w:val="24"/>
          <w:szCs w:val="24"/>
          <w:lang w:val="en-US"/>
        </w:rPr>
        <w:t>enrol</w:t>
      </w:r>
      <w:proofErr w:type="spellEnd"/>
      <w:r w:rsidRPr="008D19DC">
        <w:rPr>
          <w:b w:val="0"/>
          <w:sz w:val="24"/>
          <w:szCs w:val="24"/>
          <w:lang w:val="en-US"/>
        </w:rPr>
        <w:t xml:space="preserve"> </w:t>
      </w:r>
      <w:r>
        <w:rPr>
          <w:b w:val="0"/>
          <w:sz w:val="24"/>
          <w:szCs w:val="24"/>
          <w:lang w:val="en-US"/>
        </w:rPr>
        <w:t xml:space="preserve">in these PhD programs </w:t>
      </w:r>
      <w:r w:rsidRPr="008D19DC">
        <w:rPr>
          <w:b w:val="0"/>
          <w:sz w:val="24"/>
          <w:szCs w:val="24"/>
          <w:lang w:val="en-US"/>
        </w:rPr>
        <w:t xml:space="preserve">is to have a </w:t>
      </w:r>
      <w:r>
        <w:rPr>
          <w:b w:val="0"/>
          <w:sz w:val="24"/>
          <w:szCs w:val="24"/>
          <w:lang w:val="en-US"/>
        </w:rPr>
        <w:t xml:space="preserve">previous </w:t>
      </w:r>
      <w:r w:rsidRPr="008D19DC">
        <w:rPr>
          <w:b w:val="0"/>
          <w:sz w:val="24"/>
          <w:szCs w:val="24"/>
          <w:lang w:val="en-US"/>
        </w:rPr>
        <w:t>MSc title</w:t>
      </w:r>
      <w:r>
        <w:rPr>
          <w:b w:val="0"/>
          <w:sz w:val="24"/>
          <w:szCs w:val="24"/>
          <w:lang w:val="en-US"/>
        </w:rPr>
        <w:t>, and they do not require attending</w:t>
      </w:r>
      <w:r w:rsidR="005D7B23" w:rsidRPr="008D19DC">
        <w:rPr>
          <w:b w:val="0"/>
          <w:sz w:val="24"/>
          <w:szCs w:val="24"/>
          <w:lang w:val="en-US"/>
        </w:rPr>
        <w:t xml:space="preserve"> any courses</w:t>
      </w:r>
      <w:r w:rsidR="00DD3A07">
        <w:rPr>
          <w:b w:val="0"/>
          <w:sz w:val="24"/>
          <w:szCs w:val="24"/>
          <w:lang w:val="en-US"/>
        </w:rPr>
        <w:t xml:space="preserve"> during the duration of the program</w:t>
      </w:r>
      <w:r w:rsidR="005D7B23" w:rsidRPr="008D19DC">
        <w:rPr>
          <w:b w:val="0"/>
          <w:sz w:val="24"/>
          <w:szCs w:val="24"/>
          <w:lang w:val="en-US"/>
        </w:rPr>
        <w:t xml:space="preserve">. </w:t>
      </w:r>
      <w:r w:rsidR="008D19DC" w:rsidRPr="008D19DC">
        <w:rPr>
          <w:b w:val="0"/>
          <w:sz w:val="24"/>
          <w:szCs w:val="24"/>
          <w:lang w:val="en-US"/>
        </w:rPr>
        <w:t xml:space="preserve">Just in those cases when the admission committee decides that the student’s previous formation should be complemented, the student </w:t>
      </w:r>
      <w:r w:rsidR="00F11415">
        <w:rPr>
          <w:b w:val="0"/>
          <w:sz w:val="24"/>
          <w:szCs w:val="24"/>
          <w:lang w:val="en-US"/>
        </w:rPr>
        <w:t>must</w:t>
      </w:r>
      <w:r w:rsidR="008D19DC" w:rsidRPr="008D19DC">
        <w:rPr>
          <w:b w:val="0"/>
          <w:sz w:val="24"/>
          <w:szCs w:val="24"/>
          <w:lang w:val="en-US"/>
        </w:rPr>
        <w:t xml:space="preserve"> </w:t>
      </w:r>
      <w:r w:rsidR="008D19DC">
        <w:rPr>
          <w:b w:val="0"/>
          <w:sz w:val="24"/>
          <w:szCs w:val="24"/>
          <w:lang w:val="en-US"/>
        </w:rPr>
        <w:lastRenderedPageBreak/>
        <w:t>attend courses</w:t>
      </w:r>
      <w:r w:rsidR="008D19DC" w:rsidRPr="008D19DC">
        <w:rPr>
          <w:b w:val="0"/>
          <w:sz w:val="24"/>
          <w:szCs w:val="24"/>
          <w:lang w:val="en-US"/>
        </w:rPr>
        <w:t xml:space="preserve"> up to a maximum of 15 ECTS.</w:t>
      </w:r>
      <w:r w:rsidR="008D19DC">
        <w:rPr>
          <w:b w:val="0"/>
          <w:sz w:val="24"/>
          <w:szCs w:val="24"/>
          <w:lang w:val="en-US"/>
        </w:rPr>
        <w:t xml:space="preserve"> Those courses </w:t>
      </w:r>
      <w:r w:rsidR="00F11415">
        <w:rPr>
          <w:b w:val="0"/>
          <w:sz w:val="24"/>
          <w:szCs w:val="24"/>
          <w:lang w:val="en-US"/>
        </w:rPr>
        <w:t>are</w:t>
      </w:r>
      <w:r w:rsidR="008D19DC">
        <w:rPr>
          <w:b w:val="0"/>
          <w:sz w:val="24"/>
          <w:szCs w:val="24"/>
          <w:lang w:val="en-US"/>
        </w:rPr>
        <w:t xml:space="preserve"> chosen </w:t>
      </w:r>
      <w:r w:rsidR="00F11415">
        <w:rPr>
          <w:b w:val="0"/>
          <w:sz w:val="24"/>
          <w:szCs w:val="24"/>
          <w:lang w:val="en-US"/>
        </w:rPr>
        <w:t>from</w:t>
      </w:r>
      <w:r w:rsidR="008D19DC">
        <w:rPr>
          <w:b w:val="0"/>
          <w:sz w:val="24"/>
          <w:szCs w:val="24"/>
          <w:lang w:val="en-US"/>
        </w:rPr>
        <w:t xml:space="preserve"> those existing in the different programs at the University of A Coruna (BSc or MSc)</w:t>
      </w:r>
      <w:r w:rsidR="00F11415">
        <w:rPr>
          <w:b w:val="0"/>
          <w:sz w:val="24"/>
          <w:szCs w:val="24"/>
          <w:lang w:val="en-US"/>
        </w:rPr>
        <w:t>.</w:t>
      </w:r>
    </w:p>
    <w:sectPr w:rsidR="005D7B23" w:rsidRPr="008D19DC" w:rsidSect="00FA63A3">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737B"/>
    <w:multiLevelType w:val="hybridMultilevel"/>
    <w:tmpl w:val="18B2D7D6"/>
    <w:lvl w:ilvl="0" w:tplc="B29A5C3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6264973"/>
    <w:multiLevelType w:val="hybridMultilevel"/>
    <w:tmpl w:val="0090FA44"/>
    <w:lvl w:ilvl="0" w:tplc="B29A5C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0420FF"/>
    <w:multiLevelType w:val="hybridMultilevel"/>
    <w:tmpl w:val="1244FAB4"/>
    <w:lvl w:ilvl="0" w:tplc="B29A5C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A63A3"/>
    <w:rsid w:val="000653B6"/>
    <w:rsid w:val="000E2EA6"/>
    <w:rsid w:val="00154E04"/>
    <w:rsid w:val="00212955"/>
    <w:rsid w:val="00226402"/>
    <w:rsid w:val="002912B3"/>
    <w:rsid w:val="002F58FB"/>
    <w:rsid w:val="003513D4"/>
    <w:rsid w:val="00351E50"/>
    <w:rsid w:val="00471344"/>
    <w:rsid w:val="005B24AE"/>
    <w:rsid w:val="005D7B23"/>
    <w:rsid w:val="005F213C"/>
    <w:rsid w:val="006E3B47"/>
    <w:rsid w:val="00756B89"/>
    <w:rsid w:val="0083792E"/>
    <w:rsid w:val="008D19DC"/>
    <w:rsid w:val="008D3514"/>
    <w:rsid w:val="009C3C6C"/>
    <w:rsid w:val="00C45290"/>
    <w:rsid w:val="00D82745"/>
    <w:rsid w:val="00DA5AA0"/>
    <w:rsid w:val="00DD3A07"/>
    <w:rsid w:val="00F11415"/>
    <w:rsid w:val="00FA63A3"/>
    <w:rsid w:val="00FC3C1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A3"/>
    <w:pPr>
      <w:spacing w:after="0" w:line="240" w:lineRule="auto"/>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3A3"/>
    <w:pPr>
      <w:spacing w:after="0" w:line="240" w:lineRule="auto"/>
    </w:pPr>
    <w:rPr>
      <w:rFonts w:ascii="Times New Roman" w:eastAsia="MS Mincho"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3A3"/>
    <w:pPr>
      <w:spacing w:after="200" w:line="276" w:lineRule="auto"/>
      <w:ind w:left="720"/>
      <w:contextualSpacing/>
    </w:pPr>
    <w:rPr>
      <w:rFonts w:asciiTheme="minorHAnsi" w:eastAsiaTheme="minorHAnsi" w:hAnsiTheme="minorHAnsi" w:cstheme="minorBidi"/>
      <w:b w:val="0"/>
      <w:bCs w:val="0"/>
      <w:spacing w:val="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A3"/>
    <w:pPr>
      <w:spacing w:after="0" w:line="240" w:lineRule="auto"/>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3A3"/>
    <w:pPr>
      <w:spacing w:after="0" w:line="240" w:lineRule="auto"/>
    </w:pPr>
    <w:rPr>
      <w:rFonts w:ascii="Times New Roman" w:eastAsia="MS Mincho"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3A3"/>
    <w:pPr>
      <w:spacing w:after="200" w:line="276" w:lineRule="auto"/>
      <w:ind w:left="720"/>
      <w:contextualSpacing/>
    </w:pPr>
    <w:rPr>
      <w:rFonts w:asciiTheme="minorHAnsi" w:eastAsiaTheme="minorHAnsi" w:hAnsiTheme="minorHAnsi" w:cstheme="minorBidi"/>
      <w:b w:val="0"/>
      <w:bCs w:val="0"/>
      <w:spacing w:val="0"/>
      <w:lang w:val="es-E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Oksana Turchanina</cp:lastModifiedBy>
  <cp:revision>2</cp:revision>
  <dcterms:created xsi:type="dcterms:W3CDTF">2014-08-13T14:18:00Z</dcterms:created>
  <dcterms:modified xsi:type="dcterms:W3CDTF">2014-08-13T14:18:00Z</dcterms:modified>
</cp:coreProperties>
</file>